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right"/>
        <w:outlineLvl w:val="0"/>
      </w:pPr>
      <w:r>
        <w:rPr>
          <w:sz w:val="24"/>
        </w:rPr>
        <w:t xml:space="preserve">Приложение N 2</w:t>
      </w:r>
      <w:r/>
    </w:p>
    <w:p>
      <w:pPr>
        <w:pStyle w:val="834"/>
        <w:jc w:val="right"/>
      </w:pPr>
      <w:r>
        <w:rPr>
          <w:sz w:val="24"/>
        </w:rPr>
        <w:t xml:space="preserve">к приказу Министерства юстиции</w:t>
      </w:r>
      <w:r/>
    </w:p>
    <w:p>
      <w:pPr>
        <w:pStyle w:val="834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34"/>
        <w:jc w:val="right"/>
      </w:pPr>
      <w:r>
        <w:rPr>
          <w:sz w:val="24"/>
        </w:rPr>
        <w:t xml:space="preserve">от 01.10.2018 N 201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</w:pPr>
      <w:r/>
      <w:bookmarkStart w:id="3581" w:name="P3581"/>
      <w:r/>
      <w:bookmarkEnd w:id="3581"/>
      <w:r>
        <w:rPr>
          <w:sz w:val="24"/>
        </w:rPr>
        <w:t xml:space="preserve">ПРАВИЛА</w:t>
      </w:r>
      <w:r/>
    </w:p>
    <w:p>
      <w:pPr>
        <w:pStyle w:val="836"/>
        <w:jc w:val="center"/>
      </w:pPr>
      <w:r>
        <w:rPr>
          <w:sz w:val="24"/>
        </w:rPr>
        <w:t xml:space="preserve">ЗАПОЛНЕНИЯ ФОРМ ЗАЯВЛЕНИЙ О ГОСУДАРСТВЕННОЙ РЕГИСТРАЦИИ</w:t>
      </w:r>
      <w:r/>
    </w:p>
    <w:p>
      <w:pPr>
        <w:pStyle w:val="836"/>
        <w:jc w:val="center"/>
        <w:rPr>
          <w:sz w:val="24"/>
          <w:szCs w:val="24"/>
          <w:highlight w:val="none"/>
        </w:rPr>
      </w:pPr>
      <w:r>
        <w:rPr>
          <w:sz w:val="24"/>
        </w:rPr>
        <w:t xml:space="preserve">АКТОВ ГРАЖДАНСКОГО СОСТОЯНИЯ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834"/>
        <w:jc w:val="center"/>
      </w:pPr>
      <w:r>
        <w:rPr>
          <w:color w:val="392c69"/>
          <w:sz w:val="24"/>
        </w:rPr>
        <w:t xml:space="preserve">Список изменяющих документов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(в ред. Приказов Минюста России от 25.10.2021 </w:t>
      </w:r>
      <w:hyperlink r:id="rId8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N 200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25.08.2022 </w:t>
      </w:r>
      <w:hyperlink r:id="rId9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N 175</w:t>
        </w:r>
      </w:hyperlink>
      <w:r>
        <w:rPr>
          <w:color w:val="392c69"/>
          <w:sz w:val="24"/>
        </w:rPr>
        <w:t xml:space="preserve">, от 27.06.2023 </w:t>
      </w:r>
      <w:hyperlink r:id="rId10" w:tooltip="Приказ Минюста России от 27.06.2023 N 151 &quot;О внесении изменений в приказ Минюста России от 01.10.2018 N 201 &quot;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&quot; (Зарегистрировано в Минюсте России 30.06.2023 N 74071) {КонсультантПлюс}" w:history="1">
        <w:r>
          <w:rPr>
            <w:color w:val="0000ff"/>
            <w:sz w:val="24"/>
          </w:rPr>
          <w:t xml:space="preserve">N 151</w:t>
        </w:r>
      </w:hyperlink>
      <w:r>
        <w:rPr>
          <w:color w:val="392c69"/>
          <w:sz w:val="24"/>
        </w:rPr>
        <w:t xml:space="preserve">, от 24.10.2023 </w:t>
      </w:r>
      <w:hyperlink r:id="rId11" w:tooltip="Приказ Минюста России от 24.10.2023 N 316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6.10.2023 N 75735) {КонсультантПлюс}" w:history="1">
        <w:r>
          <w:rPr>
            <w:color w:val="0000ff"/>
            <w:sz w:val="24"/>
          </w:rPr>
          <w:t xml:space="preserve">N 316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08.11.2023 </w:t>
      </w:r>
      <w:hyperlink r:id="rId12" w:tooltip="Приказ Минюста России от 08.11.2023 N 32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10.11.2023 N 75911) {КонсультантПлюс}" w:history="1">
        <w:r>
          <w:rPr>
            <w:color w:val="0000ff"/>
            <w:sz w:val="24"/>
          </w:rPr>
          <w:t xml:space="preserve">N 325</w:t>
        </w:r>
      </w:hyperlink>
      <w:r>
        <w:rPr>
          <w:color w:val="392c69"/>
          <w:sz w:val="24"/>
        </w:rPr>
        <w:t xml:space="preserve">)</w:t>
      </w:r>
      <w:r/>
    </w:p>
    <w:p>
      <w:pPr>
        <w:pStyle w:val="836"/>
        <w:jc w:val="center"/>
      </w:pPr>
      <w:r>
        <w:rPr>
          <w:sz w:val="24"/>
          <w:highlight w:val="none"/>
        </w:rPr>
      </w:r>
      <w:r>
        <w:rPr>
          <w:sz w:val="24"/>
          <w:highlight w:val="none"/>
        </w:rPr>
      </w:r>
      <w:r/>
    </w:p>
    <w:p>
      <w:pPr>
        <w:spacing w:after="1"/>
      </w:pPr>
      <w:r/>
      <w:r/>
    </w:p>
    <w:p>
      <w:pPr>
        <w:pStyle w:val="836"/>
        <w:jc w:val="center"/>
        <w:outlineLvl w:val="1"/>
      </w:pPr>
      <w:r>
        <w:rPr>
          <w:sz w:val="24"/>
        </w:rPr>
        <w:t xml:space="preserve">I. Общие положения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1. Формы заявлений о государственной регистрации актов гражданского сост</w:t>
      </w:r>
      <w:r>
        <w:rPr>
          <w:sz w:val="24"/>
        </w:rPr>
        <w:t xml:space="preserve">ояния (далее - заявления) заполняются в соответствии с документом, являющимся основанием для государственной регистрации актов гражданского состояния, и документом, удостоверяющим личность заявителя, а также иными документами, предусмотренными Федеральным </w:t>
      </w:r>
      <w:hyperlink r:id="rId13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от 15 ноября 1997 г. N 143-ФЗ "Об актах гражданского состояния" (далее - Федеральный закон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2. Сведения вносятся в заявление в именительном падеже.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3. Если сведения не помещаются в соответствующей строке заявления, допускается расположение текста в несколько строк в пределах позиции. При отсутствии сведений в соответствующей строке (позиции) заявления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4. Заполнение заявлений производится с использованием компьютерной техники либо рукописным способом.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5. Верхняя левая часть заявления заполняе</w:t>
      </w:r>
      <w:r>
        <w:rPr>
          <w:sz w:val="24"/>
        </w:rPr>
        <w:t xml:space="preserve">тся должностным лицом органа, осуществляющего государственную регистрацию актов гражданского состояния. На заявлении проставляются дата и регистрационный номер заявления, подпись должностного лица, принявшего заявление, с расшифровкой (фамилия и инициалы).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6. Верхняя правая часть заявления заполняется заявителем(ями), уполномоченным лицом.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7. При заполнении даты (число, месяц, год) число указывается цифрами, наименование месяца - словом в родительном падеже, год - цифрами (четыре знака), затем - "г.".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числа от 1 до 9 слева ноль не указывается. Пример написания полной даты: 7 апреля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Если какой-либо из элементов даты отсутствует, то он не указывается, при этом на месте отсутствующего элемента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Пример написания неполной даты: - апрель 2018 г., - 2018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8. В строке "Гражданство" указывается наименование государства (в именительном падеже), гражданином (гражданкой) которого является лицо, в отношении которого составляется запись акта (например: Российская Федерация).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гражданство лица не подтверждается соответствующими документами, в указанной строке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9. Строки "Национальность", "Образование", "Количество общих детей, не достигших совершеннолетия", "В каком браке состоял(а)", а также "СНИЛС" заполняются по желанию лиц, подающих заявление.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14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заявители не желают указать сведения о своей национальности, об образовании или о количестве общих детей, не достигших совершеннолетия, в указанных строках заявления ставится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 от</w:t>
      </w:r>
      <w:r>
        <w:rPr>
          <w:sz w:val="24"/>
        </w:rPr>
        <w:t xml:space="preserve">сутствии у заявителей общих детей, не достигших совершеннолетия, в строке "Количество общих детей, не достигших совершеннолетия" пишется слово "нет". При наличии общих детей, не достигших совершеннолетия, число общих детей в заявлении указывается прописью.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строке "В каком браке состоял(а)" указывается слово "первый" или "повторный".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СНИЛС заполняется по желанию заявителя (заявителей). Если заявитель (заявители) не желают указывать сведения о СНИЛС либо в случае отсутствия сведений, в указанной строке ставится прочерк.</w:t>
      </w:r>
      <w:r/>
    </w:p>
    <w:p>
      <w:pPr>
        <w:pStyle w:val="834"/>
        <w:jc w:val="both"/>
      </w:pPr>
      <w:r>
        <w:rPr>
          <w:sz w:val="24"/>
        </w:rPr>
        <w:t xml:space="preserve">(абзац введен </w:t>
      </w:r>
      <w:hyperlink r:id="rId15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Приказом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10. При заполнении строк "Место рождения", "Место смерти" и "Место жительства" сведения указываются на основании документа, являющегося основанием для внесения сведений, и документа, удостоверяющего личность.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в соответствии с </w:t>
      </w:r>
      <w:hyperlink r:id="rId16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пунктом 2 статьи 15</w:t>
        </w:r>
      </w:hyperlink>
      <w:r>
        <w:rPr>
          <w:sz w:val="24"/>
        </w:rPr>
        <w:t xml:space="preserve"> Федерального закона N 143-ФЗ по желанию родителей (одного из родителей) вместо фактического места рождения ребенка, родившегося на территории Российской Федерации, места жительства родителей (</w:t>
      </w:r>
      <w:r>
        <w:rPr>
          <w:sz w:val="24"/>
        </w:rPr>
        <w:t xml:space="preserve">одного из родителей) на территории Российской Федерации, сведения о месте рождения ребенка вносятся в соответствии со сведениями о месте жительства, указанными на соответствующей странице документов, удостоверяющих личность родителей (одного из родителей).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рождения, месте смерти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жительства, месте нахождения органа или организации, заявивших о рождении либо смерти,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Федерации, федеральной территории;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планировочной структуры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улично-дорожной сети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здания (строения) или сооружения;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помещения в пределах здания, сооружения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отношении иностранного гражданина строки "Место рождения" и "Место жительства" заполняются согласно представленным документам.</w:t>
      </w:r>
      <w:r/>
    </w:p>
    <w:p>
      <w:pPr>
        <w:pStyle w:val="834"/>
        <w:jc w:val="both"/>
      </w:pPr>
      <w:r>
        <w:rPr>
          <w:sz w:val="24"/>
        </w:rPr>
        <w:t xml:space="preserve">(п. 10 в ред. </w:t>
      </w:r>
      <w:hyperlink r:id="rId17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25.08.2022 N 175)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11. Федеральным </w:t>
      </w:r>
      <w:hyperlink r:id="rId18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N 143-ФЗ установлена возможность в простой письменной форме уполномочить других</w:t>
      </w:r>
      <w:r>
        <w:rPr>
          <w:sz w:val="24"/>
        </w:rPr>
        <w:t xml:space="preserve"> лиц сделать заявление о государственной регистрации актов гражданского состояния &lt;1&gt;. Пример: если родители (родитель) уполномочивают другое лицо путем заполнения формы заявления о рождении, ими заполняется бланк заявления о рождении, в том числе раздел "</w:t>
      </w:r>
      <w:r>
        <w:rPr>
          <w:sz w:val="24"/>
        </w:rPr>
        <w:t xml:space="preserve">С заявлением уполномочен обратиться", и ставится подпись. Заполненное таким образом заявление о рождении представляется в орган, осуществляющий государственную регистрацию актов гражданского состояния, уполномоченным лицом. Если родители (родитель) уполном</w:t>
      </w:r>
      <w:r>
        <w:rPr>
          <w:sz w:val="24"/>
        </w:rPr>
        <w:t xml:space="preserve">очивают иное лицо путем составления доверенности в простой письменной форме, форму заявления о рождении заполняет и подписывает уполномоченное лицо. При этом в доверенности должно содержаться волеизъявление родителей по вопросу выбора имени ребенка и внесе</w:t>
      </w:r>
      <w:r>
        <w:rPr>
          <w:sz w:val="24"/>
        </w:rPr>
        <w:t xml:space="preserve">ния сведений о национальности родителей в свидетельство о рождении. Заявление может быть заполнено уполномоченным лицом как непосредственно в органе, осуществляющем государственную регистрацию актов гражданского состояния, так и заранее в письменной форме.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--------------------------------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&lt;1&gt; </w:t>
      </w:r>
      <w:hyperlink r:id="rId19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16</w:t>
        </w:r>
      </w:hyperlink>
      <w:r>
        <w:rPr>
          <w:sz w:val="24"/>
        </w:rPr>
        <w:t xml:space="preserve">, </w:t>
      </w:r>
      <w:hyperlink r:id="rId20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35</w:t>
        </w:r>
      </w:hyperlink>
      <w:r>
        <w:rPr>
          <w:sz w:val="24"/>
        </w:rPr>
        <w:t xml:space="preserve">, </w:t>
      </w:r>
      <w:hyperlink r:id="rId21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1 статьи 41</w:t>
        </w:r>
      </w:hyperlink>
      <w:r>
        <w:rPr>
          <w:sz w:val="24"/>
        </w:rPr>
        <w:t xml:space="preserve">, </w:t>
      </w:r>
      <w:hyperlink r:id="rId22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54</w:t>
        </w:r>
      </w:hyperlink>
      <w:r>
        <w:rPr>
          <w:sz w:val="24"/>
        </w:rPr>
        <w:t xml:space="preserve"> Федерального закона N 143-ФЗ.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12. Текст заявления размещается на листе с двух сторон.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23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13. Заявления подписываются заявителем(ями), уполномоченным(ыми) лицом с указанием даты его составления.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  <w:outlineLvl w:val="1"/>
      </w:pPr>
      <w:r>
        <w:rPr>
          <w:sz w:val="24"/>
        </w:rPr>
        <w:t xml:space="preserve">IX. Порядок заполнения заявления матери,</w:t>
      </w:r>
      <w:r/>
    </w:p>
    <w:p>
      <w:pPr>
        <w:pStyle w:val="836"/>
        <w:jc w:val="center"/>
      </w:pPr>
      <w:r>
        <w:rPr>
          <w:sz w:val="24"/>
        </w:rPr>
        <w:t xml:space="preserve">не состоящей в браке с отцом ребенка, о внесении</w:t>
      </w:r>
      <w:r/>
    </w:p>
    <w:p>
      <w:pPr>
        <w:pStyle w:val="836"/>
        <w:jc w:val="center"/>
      </w:pPr>
      <w:r>
        <w:rPr>
          <w:sz w:val="24"/>
        </w:rPr>
        <w:t xml:space="preserve">в запись акта о рождении сведений об отце ребенка</w:t>
      </w:r>
      <w:r/>
    </w:p>
    <w:p>
      <w:pPr>
        <w:pStyle w:val="836"/>
        <w:jc w:val="center"/>
      </w:pPr>
      <w:r>
        <w:rPr>
          <w:sz w:val="24"/>
        </w:rPr>
        <w:t xml:space="preserve">либо об их изменении или исключении (форма N 22)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54. Сведения о записи акта о рождении ребенка в заявлении </w:t>
      </w:r>
      <w:hyperlink w:tooltip="          ЗАЯВЛЕНИЕ МАТЕРИ, НЕ СОСТОЯЩЕЙ В БРАКЕ С ОТЦОМ РЕБЕНКА," w:anchor="P2916" w:history="1">
        <w:r>
          <w:rPr>
            <w:color w:val="0000ff"/>
            <w:sz w:val="24"/>
          </w:rPr>
          <w:t xml:space="preserve">(форма N 22)</w:t>
        </w:r>
      </w:hyperlink>
      <w:r>
        <w:rPr>
          <w:sz w:val="24"/>
        </w:rPr>
        <w:t xml:space="preserve"> вносятся на основании свидетельства о рождении ребенка.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55. Сведения о матери в заявлении </w:t>
      </w:r>
      <w:hyperlink w:tooltip="          ЗАЯВЛЕНИЕ МАТЕРИ, НЕ СОСТОЯЩЕЙ В БРАКЕ С ОТЦОМ РЕБЕНКА," w:anchor="P2916" w:history="1">
        <w:r>
          <w:rPr>
            <w:color w:val="0000ff"/>
            <w:sz w:val="24"/>
          </w:rPr>
          <w:t xml:space="preserve">(форма N 22)</w:t>
        </w:r>
      </w:hyperlink>
      <w:r>
        <w:rPr>
          <w:sz w:val="24"/>
        </w:rPr>
        <w:t xml:space="preserve"> указываются на основании записи акта о рождении ребенка.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56. В случае внесения в запись акта о рождении ребенка сведений об отце ребенка на основании заявления </w:t>
      </w:r>
      <w:hyperlink w:tooltip="          ЗАЯВЛЕНИЕ МАТЕРИ, НЕ СОСТОЯЩЕЙ В БРАКЕ С ОТЦОМ РЕБЕНКА," w:anchor="P2916" w:history="1">
        <w:r>
          <w:rPr>
            <w:color w:val="0000ff"/>
            <w:sz w:val="24"/>
          </w:rPr>
          <w:t xml:space="preserve">(форма N 22)</w:t>
        </w:r>
      </w:hyperlink>
      <w:r>
        <w:rPr>
          <w:sz w:val="24"/>
        </w:rPr>
        <w:t xml:space="preserve"> фамилия отца указывается по фамилии матери, имя и отчество - по указанию матери (</w:t>
      </w:r>
      <w:hyperlink r:id="rId24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3 статьи 17</w:t>
        </w:r>
      </w:hyperlink>
      <w:r>
        <w:rPr>
          <w:sz w:val="24"/>
        </w:rPr>
        <w:t xml:space="preserve"> Федерального закона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исключения сведений об отце указываются сведения, подлежащие исключению.</w:t>
      </w:r>
      <w:r/>
    </w:p>
    <w:p>
      <w:pPr>
        <w:pStyle w:val="834"/>
        <w:ind w:firstLine="540"/>
        <w:jc w:val="both"/>
        <w:spacing w:before="240"/>
        <w:rPr>
          <w:sz w:val="24"/>
          <w:szCs w:val="24"/>
          <w:highlight w:val="none"/>
        </w:rPr>
      </w:pPr>
      <w:r>
        <w:rPr>
          <w:sz w:val="24"/>
        </w:rPr>
        <w:t xml:space="preserve">В случае изменения сведений об отце указываются сведения до и после их изменения. Фамилия отца изменению не подлежит.</w:t>
      </w:r>
      <w:r/>
    </w:p>
    <w:p>
      <w:pPr>
        <w:pStyle w:val="836"/>
        <w:jc w:val="center"/>
        <w:outlineLvl w:val="1"/>
      </w:pPr>
      <w:r>
        <w:rPr>
          <w:sz w:val="24"/>
          <w:highlight w:val="none"/>
        </w:rPr>
      </w:r>
      <w:r>
        <w:rPr>
          <w:sz w:val="24"/>
          <w:highlight w:val="none"/>
        </w:rPr>
      </w:r>
    </w:p>
    <w:p>
      <w:pPr>
        <w:pStyle w:val="836"/>
        <w:jc w:val="center"/>
        <w:rPr>
          <w:sz w:val="24"/>
          <w:szCs w:val="24"/>
          <w:highlight w:val="none"/>
        </w:rPr>
        <w:outlineLvl w:val="1"/>
      </w:pPr>
      <w:r>
        <w:rPr>
          <w:sz w:val="24"/>
        </w:rPr>
        <w:t xml:space="preserve">X. Порядок заполнения заявления о внесении</w:t>
      </w:r>
      <w:r/>
      <w:r/>
    </w:p>
    <w:p>
      <w:pPr>
        <w:pStyle w:val="836"/>
        <w:jc w:val="center"/>
      </w:pPr>
      <w:r>
        <w:rPr>
          <w:sz w:val="24"/>
        </w:rPr>
        <w:t xml:space="preserve">исправления или изменения в запись акта гражданского</w:t>
      </w:r>
      <w:r/>
      <w:r/>
    </w:p>
    <w:p>
      <w:pPr>
        <w:pStyle w:val="836"/>
        <w:jc w:val="center"/>
      </w:pPr>
      <w:r>
        <w:rPr>
          <w:sz w:val="24"/>
        </w:rPr>
        <w:t xml:space="preserve">состояния (форма N 23)</w:t>
      </w:r>
      <w:r/>
      <w:r/>
    </w:p>
    <w:p>
      <w:pPr>
        <w:pStyle w:val="834"/>
        <w:jc w:val="both"/>
      </w:pPr>
      <w:r>
        <w:rPr>
          <w:sz w:val="24"/>
        </w:rPr>
      </w:r>
      <w:r/>
      <w:r/>
    </w:p>
    <w:p>
      <w:pPr>
        <w:pStyle w:val="834"/>
        <w:ind w:firstLine="540"/>
        <w:jc w:val="both"/>
      </w:pPr>
      <w:r>
        <w:rPr>
          <w:sz w:val="24"/>
        </w:rPr>
        <w:t xml:space="preserve">57. В заявлении </w:t>
      </w:r>
      <w:hyperlink w:tooltip="ЗАЯВЛЕНИЕ" w:anchor="P2991" w:history="1">
        <w:r>
          <w:rPr>
            <w:color w:val="0000ff"/>
            <w:sz w:val="24"/>
          </w:rPr>
          <w:t xml:space="preserve">(форма N 23)</w:t>
        </w:r>
      </w:hyperlink>
      <w:r>
        <w:rPr>
          <w:sz w:val="24"/>
        </w:rPr>
        <w:t xml:space="preserve"> причина внесения исправления или изменения указывается в соответствующей строке.</w:t>
      </w:r>
      <w:r/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58. В заявлении </w:t>
      </w:r>
      <w:hyperlink w:tooltip="ЗАЯВЛЕНИЕ" w:anchor="P2991" w:history="1">
        <w:r>
          <w:rPr>
            <w:color w:val="0000ff"/>
            <w:sz w:val="24"/>
          </w:rPr>
          <w:t xml:space="preserve">(форма N 23)</w:t>
        </w:r>
      </w:hyperlink>
      <w:r>
        <w:rPr>
          <w:sz w:val="24"/>
        </w:rPr>
        <w:t xml:space="preserve"> указываются реквизиты записей актов гражданского состояния и сведения, подлежащие исправлению (изменению). Если исправлению (изменению) подлежат более четырех записей, </w:t>
      </w:r>
      <w:r>
        <w:rPr>
          <w:sz w:val="24"/>
        </w:rPr>
        <w:t xml:space="preserve">сведения о пятой и последующих записях представляются путем заполнения дополнительного заявления. В дополнительном заявлении указываются фамилия, имя, отчество (при наличии) заявителя и заполняются соответствующие строки записи акта гражданского состояния.</w:t>
      </w:r>
      <w:r/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59. В случае, если в одной запис</w:t>
      </w:r>
      <w:r>
        <w:rPr>
          <w:sz w:val="24"/>
        </w:rPr>
        <w:t xml:space="preserve">и акта гражданского состояния подлежат исправлению несколько значений, в строке "исправить (изменить) с" перечисляются через символ ";" все подлежащие исправлению (изменению) значения. Такой же порядок записи применяется в строке "исправить (изменить) на".</w:t>
      </w:r>
      <w:r/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60. Строки "</w:t>
      </w:r>
      <w:hyperlink w:tooltip="ЗАЯВЛЕНИЕ" w:anchor="P2991" w:history="1">
        <w:r>
          <w:rPr>
            <w:color w:val="0000ff"/>
            <w:sz w:val="24"/>
          </w:rPr>
          <w:t xml:space="preserve">Документы</w:t>
        </w:r>
      </w:hyperlink>
      <w:r>
        <w:rPr>
          <w:sz w:val="24"/>
        </w:rPr>
        <w:t xml:space="preserve">, прилагаемые к заявлению, подлежащие обмену в связи с внесением исправлений/изменений в записи актов гражданского состояния" и "</w:t>
      </w:r>
      <w:hyperlink w:tooltip="ЗАЯВЛЕНИЕ" w:anchor="P2991" w:history="1">
        <w:r>
          <w:rPr>
            <w:color w:val="0000ff"/>
            <w:sz w:val="24"/>
          </w:rPr>
          <w:t xml:space="preserve">Документ</w:t>
        </w:r>
      </w:hyperlink>
      <w:r>
        <w:rPr>
          <w:sz w:val="24"/>
        </w:rPr>
        <w:t xml:space="preserve">, подтверждающий наличие основания для внесения исправления/изменения в записи актов гражданского состояния" заявления (форма N 23) заполняются в органе, осуществляющем государственную регистрацию актов гражданского состояния, при приеме документов.</w:t>
      </w:r>
      <w:r/>
      <w:r/>
      <w:r>
        <w:rPr>
          <w:sz w:val="24"/>
          <w:highlight w:val="none"/>
        </w:rPr>
      </w:r>
      <w:r>
        <w:rPr>
          <w:sz w:val="24"/>
          <w:highlight w:val="none"/>
        </w:rPr>
      </w:r>
      <w:r/>
      <w:r>
        <w:rPr>
          <w:sz w:val="24"/>
        </w:rPr>
      </w:r>
      <w:r/>
      <w:r/>
    </w:p>
    <w:sectPr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4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Normal"/>
    <w:qFormat/>
  </w:style>
  <w:style w:type="paragraph" w:styleId="656">
    <w:name w:val="Heading 1"/>
    <w:basedOn w:val="655"/>
    <w:next w:val="655"/>
    <w:link w:val="65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7">
    <w:name w:val="Heading 1 Char"/>
    <w:link w:val="6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8">
    <w:name w:val="Heading 2"/>
    <w:basedOn w:val="655"/>
    <w:next w:val="655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9">
    <w:name w:val="Heading 2 Char"/>
    <w:link w:val="658"/>
    <w:uiPriority w:val="9"/>
    <w:rPr>
      <w:rFonts w:ascii="Liberation Sans" w:hAnsi="Liberation Sans" w:eastAsia="Liberation Sans" w:cs="Liberation Sans"/>
      <w:sz w:val="34"/>
    </w:rPr>
  </w:style>
  <w:style w:type="paragraph" w:styleId="660">
    <w:name w:val="Heading 3"/>
    <w:basedOn w:val="655"/>
    <w:next w:val="655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1">
    <w:name w:val="Heading 3 Char"/>
    <w:link w:val="66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2">
    <w:name w:val="Heading 4"/>
    <w:basedOn w:val="655"/>
    <w:next w:val="655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4">
    <w:name w:val="Heading 5"/>
    <w:basedOn w:val="655"/>
    <w:next w:val="655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6">
    <w:name w:val="Heading 6"/>
    <w:basedOn w:val="655"/>
    <w:next w:val="655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8">
    <w:name w:val="Heading 7"/>
    <w:basedOn w:val="655"/>
    <w:next w:val="655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0">
    <w:name w:val="Heading 8"/>
    <w:basedOn w:val="655"/>
    <w:next w:val="655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2">
    <w:name w:val="Heading 9"/>
    <w:basedOn w:val="655"/>
    <w:next w:val="655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4">
    <w:name w:val="List Paragraph"/>
    <w:basedOn w:val="655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655"/>
    <w:next w:val="655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655"/>
    <w:next w:val="655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655"/>
    <w:next w:val="655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655"/>
    <w:next w:val="655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655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655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655"/>
    <w:next w:val="655"/>
    <w:link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link w:val="688"/>
    <w:uiPriority w:val="35"/>
    <w:rPr>
      <w:b/>
      <w:bCs/>
      <w:color w:val="4f81bd" w:themeColor="accent1"/>
      <w:sz w:val="18"/>
      <w:szCs w:val="18"/>
    </w:rPr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655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655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655"/>
    <w:next w:val="655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655"/>
    <w:next w:val="655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655"/>
    <w:next w:val="655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655"/>
    <w:next w:val="655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655"/>
    <w:next w:val="655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655"/>
    <w:next w:val="655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655"/>
    <w:next w:val="655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655"/>
    <w:next w:val="655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655"/>
    <w:next w:val="655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655"/>
    <w:next w:val="655"/>
    <w:uiPriority w:val="99"/>
    <w:unhideWhenUsed/>
    <w:pPr>
      <w:spacing w:after="0" w:afterAutospacing="0"/>
    </w:pPr>
  </w:style>
  <w:style w:type="paragraph" w:styleId="834" w:default="1" w:customStyle="1">
    <w:name w:val="ConsPlusNormal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35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6" w:customStyle="1">
    <w:name w:val="ConsPlusTitle"/>
    <w:pPr>
      <w:widowControl w:val="off"/>
    </w:pPr>
    <w:rPr>
      <w:rFonts w:ascii="Arial" w:hAnsi="Arial" w:cs="Arial"/>
      <w:b/>
      <w:sz w:val="24"/>
      <w:lang w:val="ru-RU" w:eastAsia="ru-RU" w:bidi="ar-SA"/>
    </w:rPr>
  </w:style>
  <w:style w:type="paragraph" w:styleId="837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8" w:customStyle="1">
    <w:name w:val="ConsPlusDocList"/>
    <w:pPr>
      <w:widowControl w:val="off"/>
    </w:pPr>
    <w:rPr>
      <w:rFonts w:ascii="Tahoma" w:hAnsi="Tahoma" w:cs="Tahoma"/>
      <w:sz w:val="18"/>
      <w:lang w:val="ru-RU" w:eastAsia="ru-RU" w:bidi="ar-SA"/>
    </w:rPr>
  </w:style>
  <w:style w:type="paragraph" w:styleId="839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40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1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2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43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character" w:styleId="844" w:default="1">
    <w:name w:val="Default Paragraph Font"/>
    <w:uiPriority w:val="1"/>
    <w:semiHidden/>
    <w:unhideWhenUsed/>
  </w:style>
  <w:style w:type="numbering" w:styleId="845" w:default="1">
    <w:name w:val="No List"/>
    <w:uiPriority w:val="99"/>
    <w:semiHidden/>
    <w:unhideWhenUsed/>
  </w:style>
  <w:style w:type="table" w:styleId="84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login.consultant.ru/link/?req=doc&amp;base=LAW&amp;n=399428&amp;date=14.08.2026&amp;dst=100302&amp;field=134" TargetMode="External"/><Relationship Id="rId9" Type="http://schemas.openxmlformats.org/officeDocument/2006/relationships/hyperlink" Target="https://login.consultant.ru/link/?req=doc&amp;base=LAW&amp;n=425727&amp;date=14.08.2026&amp;dst=100015&amp;field=134" TargetMode="External"/><Relationship Id="rId10" Type="http://schemas.openxmlformats.org/officeDocument/2006/relationships/hyperlink" Target="https://login.consultant.ru/link/?req=doc&amp;base=LAW&amp;n=451079&amp;date=14.08.2026&amp;dst=100011&amp;field=134" TargetMode="External"/><Relationship Id="rId11" Type="http://schemas.openxmlformats.org/officeDocument/2006/relationships/hyperlink" Target="https://login.consultant.ru/link/?req=doc&amp;base=LAW&amp;n=460563&amp;date=14.08.2026&amp;dst=100066&amp;field=134" TargetMode="External"/><Relationship Id="rId12" Type="http://schemas.openxmlformats.org/officeDocument/2006/relationships/hyperlink" Target="https://login.consultant.ru/link/?req=doc&amp;base=LAW&amp;n=461648&amp;date=14.08.2026&amp;dst=100016&amp;field=134" TargetMode="External"/><Relationship Id="rId13" Type="http://schemas.openxmlformats.org/officeDocument/2006/relationships/hyperlink" Target="https://login.consultant.ru/link/?req=doc&amp;base=LAW&amp;n=541072&amp;date=14.08.2026" TargetMode="External"/><Relationship Id="rId14" Type="http://schemas.openxmlformats.org/officeDocument/2006/relationships/hyperlink" Target="https://login.consultant.ru/link/?req=doc&amp;base=LAW&amp;n=399428&amp;date=14.08.2026&amp;dst=100304&amp;field=134" TargetMode="External"/><Relationship Id="rId15" Type="http://schemas.openxmlformats.org/officeDocument/2006/relationships/hyperlink" Target="https://login.consultant.ru/link/?req=doc&amp;base=LAW&amp;n=399428&amp;date=14.08.2026&amp;dst=100305&amp;field=134" TargetMode="External"/><Relationship Id="rId16" Type="http://schemas.openxmlformats.org/officeDocument/2006/relationships/hyperlink" Target="https://login.consultant.ru/link/?req=doc&amp;base=LAW&amp;n=541072&amp;date=14.08.2026&amp;dst=100093&amp;field=134" TargetMode="External"/><Relationship Id="rId17" Type="http://schemas.openxmlformats.org/officeDocument/2006/relationships/hyperlink" Target="https://login.consultant.ru/link/?req=doc&amp;base=LAW&amp;n=425727&amp;date=14.08.2026&amp;dst=100015&amp;field=134" TargetMode="External"/><Relationship Id="rId18" Type="http://schemas.openxmlformats.org/officeDocument/2006/relationships/hyperlink" Target="https://login.consultant.ru/link/?req=doc&amp;base=LAW&amp;n=541072&amp;date=14.08.2026" TargetMode="External"/><Relationship Id="rId19" Type="http://schemas.openxmlformats.org/officeDocument/2006/relationships/hyperlink" Target="https://login.consultant.ru/link/?req=doc&amp;base=LAW&amp;n=541072&amp;date=14.08.2026&amp;dst=100099&amp;field=134" TargetMode="External"/><Relationship Id="rId20" Type="http://schemas.openxmlformats.org/officeDocument/2006/relationships/hyperlink" Target="https://login.consultant.ru/link/?req=doc&amp;base=LAW&amp;n=541072&amp;date=14.08.2026&amp;dst=100251&amp;field=134" TargetMode="External"/><Relationship Id="rId21" Type="http://schemas.openxmlformats.org/officeDocument/2006/relationships/hyperlink" Target="https://login.consultant.ru/link/?req=doc&amp;base=LAW&amp;n=541072&amp;date=14.08.2026&amp;dst=286&amp;field=134" TargetMode="External"/><Relationship Id="rId22" Type="http://schemas.openxmlformats.org/officeDocument/2006/relationships/hyperlink" Target="https://login.consultant.ru/link/?req=doc&amp;base=LAW&amp;n=541072&amp;date=14.08.2026&amp;dst=100354&amp;field=134" TargetMode="External"/><Relationship Id="rId23" Type="http://schemas.openxmlformats.org/officeDocument/2006/relationships/hyperlink" Target="https://login.consultant.ru/link/?req=doc&amp;base=LAW&amp;n=399428&amp;date=14.08.2026&amp;dst=100308&amp;field=134" TargetMode="External"/><Relationship Id="rId24" Type="http://schemas.openxmlformats.org/officeDocument/2006/relationships/hyperlink" Target="https://login.consultant.ru/link/?req=doc&amp;base=LAW&amp;n=541072&amp;date=14.08.2026&amp;dst=100108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Минюста России от 01.10.2018 N 201
(ред. от 08.11.2023)
"Об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состояния"
(Зарегистрировано в Минюсте России 02.10.2018 N 52300)</dc:title>
  <cp:lastModifiedBy>ivtaran</cp:lastModifiedBy>
  <cp:revision>3</cp:revision>
  <dcterms:created xsi:type="dcterms:W3CDTF">2026-08-14T08:34:35Z</dcterms:created>
  <dcterms:modified xsi:type="dcterms:W3CDTF">2026-08-14T09:31:52Z</dcterms:modified>
</cp:coreProperties>
</file>