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jc w:val="right"/>
        <w:outlineLvl w:val="0"/>
      </w:pPr>
      <w:r>
        <w:rPr>
          <w:sz w:val="24"/>
        </w:rPr>
        <w:t xml:space="preserve">Приложение N 2</w:t>
      </w:r>
      <w:r/>
    </w:p>
    <w:p>
      <w:pPr>
        <w:pStyle w:val="834"/>
        <w:jc w:val="right"/>
      </w:pPr>
      <w:r>
        <w:rPr>
          <w:sz w:val="24"/>
        </w:rPr>
        <w:t xml:space="preserve">к приказу Министерства юстиции</w:t>
      </w:r>
      <w:r/>
    </w:p>
    <w:p>
      <w:pPr>
        <w:pStyle w:val="834"/>
        <w:jc w:val="right"/>
      </w:pPr>
      <w:r>
        <w:rPr>
          <w:sz w:val="24"/>
        </w:rPr>
        <w:t xml:space="preserve">Российской Федерации</w:t>
      </w:r>
      <w:r/>
    </w:p>
    <w:p>
      <w:pPr>
        <w:pStyle w:val="834"/>
        <w:jc w:val="right"/>
      </w:pPr>
      <w:r>
        <w:rPr>
          <w:sz w:val="24"/>
        </w:rPr>
        <w:t xml:space="preserve">от 01.10.2018 N 201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6"/>
        <w:jc w:val="center"/>
      </w:pPr>
      <w:r/>
      <w:bookmarkStart w:id="3581" w:name="P3581"/>
      <w:r/>
      <w:bookmarkEnd w:id="3581"/>
      <w:r>
        <w:rPr>
          <w:sz w:val="24"/>
        </w:rPr>
        <w:t xml:space="preserve">ПРАВИЛА</w:t>
      </w:r>
      <w:r/>
    </w:p>
    <w:p>
      <w:pPr>
        <w:pStyle w:val="836"/>
        <w:jc w:val="center"/>
      </w:pPr>
      <w:r>
        <w:rPr>
          <w:sz w:val="24"/>
        </w:rPr>
        <w:t xml:space="preserve">ЗАПОЛНЕНИЯ ФОРМ ЗАЯВЛЕНИЙ О ГОСУДАРСТВЕННОЙ РЕГИСТРАЦИИ</w:t>
      </w:r>
      <w:r/>
    </w:p>
    <w:p>
      <w:pPr>
        <w:pStyle w:val="836"/>
        <w:jc w:val="center"/>
        <w:rPr>
          <w:sz w:val="24"/>
          <w:szCs w:val="24"/>
          <w:highlight w:val="none"/>
        </w:rPr>
      </w:pPr>
      <w:r>
        <w:rPr>
          <w:sz w:val="24"/>
        </w:rPr>
        <w:t xml:space="preserve">АКТОВ ГРАЖДАНСКОГО СОСТОЯНИЯ</w:t>
      </w:r>
      <w:r>
        <w:rPr>
          <w:sz w:val="24"/>
          <w:szCs w:val="24"/>
          <w:highlight w:val="none"/>
        </w:rPr>
      </w:r>
    </w:p>
    <w:p>
      <w:pPr>
        <w:pStyle w:val="834"/>
        <w:jc w:val="center"/>
      </w:pPr>
      <w:r>
        <w:rPr>
          <w:color w:val="392c69"/>
          <w:sz w:val="24"/>
        </w:rPr>
        <w:t xml:space="preserve">Список изменяющих документов</w:t>
      </w:r>
      <w:r/>
    </w:p>
    <w:p>
      <w:pPr>
        <w:pStyle w:val="834"/>
        <w:jc w:val="center"/>
      </w:pPr>
      <w:r>
        <w:rPr>
          <w:color w:val="392c69"/>
          <w:sz w:val="24"/>
        </w:rPr>
        <w:t xml:space="preserve">(в ред. Приказов Минюста России от 25.10.2021 </w:t>
      </w:r>
      <w:hyperlink r:id="rId8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N 200</w:t>
        </w:r>
      </w:hyperlink>
      <w:r>
        <w:rPr>
          <w:color w:val="392c69"/>
          <w:sz w:val="24"/>
        </w:rPr>
        <w:t xml:space="preserve">,</w:t>
      </w:r>
      <w:r/>
    </w:p>
    <w:p>
      <w:pPr>
        <w:pStyle w:val="834"/>
        <w:jc w:val="center"/>
      </w:pPr>
      <w:r>
        <w:rPr>
          <w:color w:val="392c69"/>
          <w:sz w:val="24"/>
        </w:rPr>
        <w:t xml:space="preserve">от 25.08.2022 </w:t>
      </w:r>
      <w:hyperlink r:id="rId9" w:tooltip="Приказ Минюста России от 25.08.2022 N 175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01.09.2022 N 69881) {КонсультантПлюс}" w:history="1">
        <w:r>
          <w:rPr>
            <w:color w:val="0000ff"/>
            <w:sz w:val="24"/>
          </w:rPr>
          <w:t xml:space="preserve">N 175</w:t>
        </w:r>
      </w:hyperlink>
      <w:r>
        <w:rPr>
          <w:color w:val="392c69"/>
          <w:sz w:val="24"/>
        </w:rPr>
        <w:t xml:space="preserve">, от 27.06.2023 </w:t>
      </w:r>
      <w:hyperlink r:id="rId10" w:tooltip="Приказ Минюста России от 27.06.2023 N 151 &quot;О внесении изменений в приказ Минюста России от 01.10.2018 N 201 &quot;Об утверждении форм заявлений о государственной регистрации актов гражданского состояния и Правил заполнения форм заявлений о государственной регистрации актов гражданского состояния&quot; (Зарегистрировано в Минюсте России 30.06.2023 N 74071) {КонсультантПлюс}" w:history="1">
        <w:r>
          <w:rPr>
            <w:color w:val="0000ff"/>
            <w:sz w:val="24"/>
          </w:rPr>
          <w:t xml:space="preserve">N 151</w:t>
        </w:r>
      </w:hyperlink>
      <w:r>
        <w:rPr>
          <w:color w:val="392c69"/>
          <w:sz w:val="24"/>
        </w:rPr>
        <w:t xml:space="preserve">, от 24.10.2023 </w:t>
      </w:r>
      <w:hyperlink r:id="rId11" w:tooltip="Приказ Минюста России от 24.10.2023 N 316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6.10.2023 N 75735) {КонсультантПлюс}" w:history="1">
        <w:r>
          <w:rPr>
            <w:color w:val="0000ff"/>
            <w:sz w:val="24"/>
          </w:rPr>
          <w:t xml:space="preserve">N 316</w:t>
        </w:r>
      </w:hyperlink>
      <w:r>
        <w:rPr>
          <w:color w:val="392c69"/>
          <w:sz w:val="24"/>
        </w:rPr>
        <w:t xml:space="preserve">,</w:t>
      </w:r>
      <w:r/>
    </w:p>
    <w:p>
      <w:pPr>
        <w:pStyle w:val="834"/>
        <w:jc w:val="center"/>
      </w:pPr>
      <w:r>
        <w:rPr>
          <w:color w:val="392c69"/>
          <w:sz w:val="24"/>
        </w:rPr>
        <w:t xml:space="preserve">от 08.11.2023 </w:t>
      </w:r>
      <w:hyperlink r:id="rId12" w:tooltip="Приказ Минюста России от 08.11.2023 N 325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10.11.2023 N 75911) {КонсультантПлюс}" w:history="1">
        <w:r>
          <w:rPr>
            <w:color w:val="0000ff"/>
            <w:sz w:val="24"/>
          </w:rPr>
          <w:t xml:space="preserve">N 325</w:t>
        </w:r>
      </w:hyperlink>
      <w:r>
        <w:rPr>
          <w:color w:val="392c69"/>
          <w:sz w:val="24"/>
        </w:rPr>
        <w:t xml:space="preserve">)</w:t>
      </w:r>
      <w:r/>
    </w:p>
    <w:p>
      <w:pPr>
        <w:pStyle w:val="836"/>
        <w:jc w:val="center"/>
      </w:pPr>
      <w:r>
        <w:rPr>
          <w:sz w:val="24"/>
          <w:highlight w:val="none"/>
        </w:rPr>
      </w:r>
      <w:r>
        <w:rPr>
          <w:sz w:val="24"/>
          <w:highlight w:val="none"/>
        </w:rPr>
      </w:r>
      <w:r/>
    </w:p>
    <w:p>
      <w:pPr>
        <w:spacing w:after="1"/>
      </w:pPr>
      <w:r/>
      <w:r/>
    </w:p>
    <w:p>
      <w:pPr>
        <w:pStyle w:val="836"/>
        <w:jc w:val="center"/>
        <w:outlineLvl w:val="1"/>
      </w:pPr>
      <w:r>
        <w:rPr>
          <w:sz w:val="24"/>
        </w:rPr>
        <w:t xml:space="preserve">I. Общие положения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ind w:firstLine="540"/>
        <w:jc w:val="both"/>
      </w:pPr>
      <w:r>
        <w:rPr>
          <w:sz w:val="24"/>
        </w:rPr>
        <w:t xml:space="preserve">1. Формы заявлений о государственной регистрации актов гражданского сост</w:t>
      </w:r>
      <w:r>
        <w:rPr>
          <w:sz w:val="24"/>
        </w:rPr>
        <w:t xml:space="preserve">ояния (далее - заявления) заполняются в соответствии с документом, являющимся основанием для государственной регистрации актов гражданского состояния, и документом, удостоверяющим личность заявителя, а также иными документами, предусмотренными Федеральным </w:t>
      </w:r>
      <w:hyperlink r:id="rId13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законом</w:t>
        </w:r>
      </w:hyperlink>
      <w:r>
        <w:rPr>
          <w:sz w:val="24"/>
        </w:rPr>
        <w:t xml:space="preserve"> от 15 ноября 1997 г. N 143-ФЗ "Об актах гражданского состояния" (далее - Федеральный закон N 143-ФЗ).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2. Сведения вносятся в заявление в именительном падеже.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3. Если сведения не помещаются в соответствующей строке заявления, допускается расположение текста в несколько строк в пределах позиции. При отсутствии сведений в соответствующей строке (позиции) заявления проставляется прочерк.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4. Заполнение заявлений производится с использованием компьютерной техники либо рукописным способом.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5. Верхняя левая часть заявления заполняе</w:t>
      </w:r>
      <w:r>
        <w:rPr>
          <w:sz w:val="24"/>
        </w:rPr>
        <w:t xml:space="preserve">тся должностным лицом органа, осуществляющего государственную регистрацию актов гражданского состояния. На заявлении проставляются дата и регистрационный номер заявления, подпись должностного лица, принявшего заявление, с расшифровкой (фамилия и инициалы).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6. Верхняя правая часть заявления заполняется заявителем(ями), уполномоченным лицом.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7. При заполнении даты (число, месяц, год) число указывается цифрами, наименование месяца - словом в родительном падеже, год - цифрами (четыре знака), затем - "г.".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 указания числа от 1 до 9 слева ноль не указывается. Пример написания полной даты: 7 апреля 2018 г.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Если какой-либо из элементов даты отсутствует, то он не указывается, при этом на месте отсутствующего элемента проставляется прочерк.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Пример написания неполной даты: - апрель 2018 г., - 2018 г.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8. В строке "Гражданство" указывается наименование государства (в именительном падеже), гражданином (гражданкой) которого является лицо, в отношении которого составляется запись акта (например: Российская Федерация).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случае, если гражданство лица не подтверждается соответствующими документами, в указанной строке проставляется прочерк.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9. Строки "Национальность", "Образование", "Количество общих детей, не достигших совершеннолетия", "В каком браке состоял(а)", а также "СНИЛС" заполняются по желанию лиц, подающих заявление.</w:t>
      </w:r>
      <w:r/>
    </w:p>
    <w:p>
      <w:pPr>
        <w:pStyle w:val="834"/>
        <w:jc w:val="both"/>
      </w:pPr>
      <w:r>
        <w:rPr>
          <w:sz w:val="24"/>
        </w:rPr>
        <w:t xml:space="preserve">(в ред. </w:t>
      </w:r>
      <w:hyperlink r:id="rId14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Приказа</w:t>
        </w:r>
      </w:hyperlink>
      <w:r>
        <w:rPr>
          <w:sz w:val="24"/>
        </w:rPr>
        <w:t xml:space="preserve"> Минюста России от 25.10.2021 N 200)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случае, если заявители не желают указать сведения о своей национальности, об образовании или о количестве общих детей, не достигших совершеннолетия, в указанных строках заявления ставится прочерк.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При от</w:t>
      </w:r>
      <w:r>
        <w:rPr>
          <w:sz w:val="24"/>
        </w:rPr>
        <w:t xml:space="preserve">сутствии у заявителей общих детей, не достигших совершеннолетия, в строке "Количество общих детей, не достигших совершеннолетия" пишется слово "нет". При наличии общих детей, не достигших совершеннолетия, число общих детей в заявлении указывается прописью.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строке "В каком браке состоял(а)" указывается слово "первый" или "повторный".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СНИЛС заполняется по желанию заявителя (заявителей). Если заявитель (заявители) не желают указывать сведения о СНИЛС либо в случае отсутствия сведений, в указанной строке ставится прочерк.</w:t>
      </w:r>
      <w:r/>
    </w:p>
    <w:p>
      <w:pPr>
        <w:pStyle w:val="834"/>
        <w:jc w:val="both"/>
      </w:pPr>
      <w:r>
        <w:rPr>
          <w:sz w:val="24"/>
        </w:rPr>
        <w:t xml:space="preserve">(абзац введен </w:t>
      </w:r>
      <w:hyperlink r:id="rId15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Приказом</w:t>
        </w:r>
      </w:hyperlink>
      <w:r>
        <w:rPr>
          <w:sz w:val="24"/>
        </w:rPr>
        <w:t xml:space="preserve"> Минюста России от 25.10.2021 N 200)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10. При заполнении строк "Место рождения", "Место смерти" и "Место жительства" сведения указываются на основании документа, являющегося основанием для внесения сведений, и документа, удостоверяющего личность.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 указания в соответствии с </w:t>
      </w:r>
      <w:hyperlink r:id="rId16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пунктом 2 статьи 15</w:t>
        </w:r>
      </w:hyperlink>
      <w:r>
        <w:rPr>
          <w:sz w:val="24"/>
        </w:rPr>
        <w:t xml:space="preserve"> Федерального закона N 143-ФЗ по желанию родителей (одного из родителей) вместо фактического места рождения ребенка, родившегося на территории Российской Федерации, места жительства родителей (</w:t>
      </w:r>
      <w:r>
        <w:rPr>
          <w:sz w:val="24"/>
        </w:rPr>
        <w:t xml:space="preserve">одного из родителей) на территории Российской Федерации, сведения о месте рождения ребенка вносятся в соответствии со сведениями о месте жительства, указанными на соответствующей странице документов, удостоверяющих личность родителей (одного из родителей).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Сведения о месте рождения, месте смерти вносятся в именительном падеже в следующей последовательности: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страны (Российская Федерация либо Россия);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субъекта Российской Федерации (наименование города федерального значения);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муниципального района, муниципального округа, городского округа или внутригородской территории (для городов федерального значения) в составе субъекта Российской Федерации;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городского или сельского поселения в составе муниципального района (для муниципального района) или внутригородского района городского округа;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населенного пункта.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Сведения о месте жительства, месте нахождения органа или организации, заявивших о рождении либо смерти, вносятся в именительном падеже в следующей последовательности: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страны (Российская Федерация либо Россия);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субъекта Российской Федерации (наименование города федерального значения);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муниципального района, муниципального округа, городского округа или внутригородской территории (для городов федерального значения) в составе субъекта Российской Федерации, федеральной территории;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городского или сельского поселения в составе муниципального района (для муниципального района) или внутригородского района городского округа;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населенного пункта;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элемента планировочной структуры (при наличии);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элемента улично-дорожной сети (при наличии);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тип и номер здания (строения) или сооружения;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тип и номер помещения в пределах здания, сооружения (при наличии);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отношении иностранного гражданина строки "Место рождения" и "Место жительства" заполняются согласно представленным документам.</w:t>
      </w:r>
      <w:r/>
    </w:p>
    <w:p>
      <w:pPr>
        <w:pStyle w:val="834"/>
        <w:jc w:val="both"/>
      </w:pPr>
      <w:r>
        <w:rPr>
          <w:sz w:val="24"/>
        </w:rPr>
        <w:t xml:space="preserve">(п. 10 в ред. </w:t>
      </w:r>
      <w:hyperlink r:id="rId17" w:tooltip="Приказ Минюста России от 25.08.2022 N 175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01.09.2022 N 69881) {КонсультантПлюс}" w:history="1">
        <w:r>
          <w:rPr>
            <w:color w:val="0000ff"/>
            <w:sz w:val="24"/>
          </w:rPr>
          <w:t xml:space="preserve">Приказа</w:t>
        </w:r>
      </w:hyperlink>
      <w:r>
        <w:rPr>
          <w:sz w:val="24"/>
        </w:rPr>
        <w:t xml:space="preserve"> Минюста России от 25.08.2022 N 175)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11. Федеральным </w:t>
      </w:r>
      <w:hyperlink r:id="rId18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законом</w:t>
        </w:r>
      </w:hyperlink>
      <w:r>
        <w:rPr>
          <w:sz w:val="24"/>
        </w:rPr>
        <w:t xml:space="preserve"> N 143-ФЗ установлена возможность в простой письменной форме уполномочить других</w:t>
      </w:r>
      <w:r>
        <w:rPr>
          <w:sz w:val="24"/>
        </w:rPr>
        <w:t xml:space="preserve"> лиц сделать заявление о государственной регистрации актов гражданского состояния &lt;1&gt;. Пример: если родители (родитель) уполномочивают другое лицо путем заполнения формы заявления о рождении, ими заполняется бланк заявления о рождении, в том числе раздел "</w:t>
      </w:r>
      <w:r>
        <w:rPr>
          <w:sz w:val="24"/>
        </w:rPr>
        <w:t xml:space="preserve">С заявлением уполномочен обратиться", и ставится подпись. Заполненное таким образом заявление о рождении представляется в орган, осуществляющий государственную регистрацию актов гражданского состояния, уполномоченным лицом. Если родители (родитель) уполном</w:t>
      </w:r>
      <w:r>
        <w:rPr>
          <w:sz w:val="24"/>
        </w:rPr>
        <w:t xml:space="preserve">очивают иное лицо путем составления доверенности в простой письменной форме, форму заявления о рождении заполняет и подписывает уполномоченное лицо. При этом в доверенности должно содержаться волеизъявление родителей по вопросу выбора имени ребенка и внесе</w:t>
      </w:r>
      <w:r>
        <w:rPr>
          <w:sz w:val="24"/>
        </w:rPr>
        <w:t xml:space="preserve">ния сведений о национальности родителей в свидетельство о рождении. Заявление может быть заполнено уполномоченным лицом как непосредственно в органе, осуществляющем государственную регистрацию актов гражданского состояния, так и заранее в письменной форме.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--------------------------------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&lt;1&gt; </w:t>
      </w:r>
      <w:hyperlink r:id="rId19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2 статьи 16</w:t>
        </w:r>
      </w:hyperlink>
      <w:r>
        <w:rPr>
          <w:sz w:val="24"/>
        </w:rPr>
        <w:t xml:space="preserve">, </w:t>
      </w:r>
      <w:hyperlink r:id="rId20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2 статьи 35</w:t>
        </w:r>
      </w:hyperlink>
      <w:r>
        <w:rPr>
          <w:sz w:val="24"/>
        </w:rPr>
        <w:t xml:space="preserve">, </w:t>
      </w:r>
      <w:hyperlink r:id="rId21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1 статьи 41</w:t>
        </w:r>
      </w:hyperlink>
      <w:r>
        <w:rPr>
          <w:sz w:val="24"/>
        </w:rPr>
        <w:t xml:space="preserve">, </w:t>
      </w:r>
      <w:hyperlink r:id="rId22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2 статьи 54</w:t>
        </w:r>
      </w:hyperlink>
      <w:r>
        <w:rPr>
          <w:sz w:val="24"/>
        </w:rPr>
        <w:t xml:space="preserve"> Федерального закона N 143-ФЗ.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ind w:firstLine="540"/>
        <w:jc w:val="both"/>
      </w:pPr>
      <w:r>
        <w:rPr>
          <w:sz w:val="24"/>
        </w:rPr>
        <w:t xml:space="preserve">12. Текст заявления размещается на листе с двух сторон.</w:t>
      </w:r>
      <w:r/>
    </w:p>
    <w:p>
      <w:pPr>
        <w:pStyle w:val="834"/>
        <w:jc w:val="both"/>
      </w:pPr>
      <w:r>
        <w:rPr>
          <w:sz w:val="24"/>
        </w:rPr>
        <w:t xml:space="preserve">(в ред. </w:t>
      </w:r>
      <w:hyperlink r:id="rId23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Приказа</w:t>
        </w:r>
      </w:hyperlink>
      <w:r>
        <w:rPr>
          <w:sz w:val="24"/>
        </w:rPr>
        <w:t xml:space="preserve"> Минюста России от 25.10.2021 N 200)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13. Заявления подписываются заявителем(ями), уполномоченным(ыми) лицом с указанием даты его составления.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6"/>
        <w:jc w:val="center"/>
        <w:outlineLvl w:val="1"/>
      </w:pPr>
      <w:r>
        <w:rPr>
          <w:sz w:val="24"/>
        </w:rPr>
        <w:t xml:space="preserve">II. Порядок заполнения заявлений о рождении</w:t>
      </w:r>
      <w:r/>
    </w:p>
    <w:p>
      <w:pPr>
        <w:pStyle w:val="836"/>
        <w:jc w:val="center"/>
      </w:pPr>
      <w:r>
        <w:rPr>
          <w:sz w:val="24"/>
        </w:rPr>
        <w:t xml:space="preserve">(формы N 1 - N 6)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ind w:firstLine="540"/>
        <w:jc w:val="both"/>
      </w:pPr>
      <w:r>
        <w:rPr>
          <w:sz w:val="24"/>
        </w:rPr>
        <w:t xml:space="preserve">14. Фамилия ребенка записывается по фамилии его родителей (родителя). При разных фамилиях родителей по соглаш</w:t>
      </w:r>
      <w:r>
        <w:rPr>
          <w:sz w:val="24"/>
        </w:rPr>
        <w:t xml:space="preserve">ению родителей ребенку присваивается фамилия отца, фамилия матери или двойная фамилия, образованная посредством присоединения фамилий отца и матери друг к другу в любой последовательности, если иное не предусмотрено законами субъектов Российской Федерации.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</w:t>
      </w:r>
      <w:r>
        <w:rPr>
          <w:sz w:val="24"/>
        </w:rPr>
        <w:t xml:space="preserve">е допускается изменение последовательности присоединения фамилий отца и матери друг к другу при образовании двойных фамилий у полнородных братьев и сестер. Двойная фамилия ребенка может состоять не более чем из двух слов, соединенных при написании дефисом.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отношении мертворожденного ребенка ребенку присваивается только фамилия.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15. Имя ребенка записывается по соглашению родителей (родителя). Запрещает</w:t>
      </w:r>
      <w:r>
        <w:rPr>
          <w:sz w:val="24"/>
        </w:rPr>
        <w:t xml:space="preserve">ся запись имени ребенка, которое состоит из цифр, буквенно-цифровых обозначений, числительных, символов и не являющихся буквами знаков, за исключением знака "дефис", или их любой комбинации либо содержит бранные слова, указания на ранги, должности, титулы.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При отсутствии соглашения между родителями имя ребенка и (или) его фамилия (при разных фамилиях родителей) указывается по решению органа опеки и попечительства об указании имени и фамилии ребенка.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16. Отчество ребенка записывается по имени отца, если иное не основано на национальном обычае (</w:t>
      </w:r>
      <w:hyperlink r:id="rId24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статья 18</w:t>
        </w:r>
      </w:hyperlink>
      <w:r>
        <w:rPr>
          <w:sz w:val="24"/>
        </w:rPr>
        <w:t xml:space="preserve"> Федерального закона N 143-ФЗ). В случае рождения ребенка у одинокой матери отчество ребенка указывается по желанию матери (</w:t>
      </w:r>
      <w:hyperlink r:id="rId25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5 статьи 18</w:t>
        </w:r>
      </w:hyperlink>
      <w:r>
        <w:rPr>
          <w:sz w:val="24"/>
        </w:rPr>
        <w:t xml:space="preserve"> Федерального закона N 143-ФЗ).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17. В отношении ребенка, умершего на первой неделе жизни, присваиваются фамилия, имя и отчество. Данные сведения вносятся по указанию родителя (родителей) либо по указанию органа опеки и попечительства.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18. Фамилия, имя, отчество (при наличии) найденного (подкинутого) ребенка указываются согласно документу органа или организации, заявляющих о рождении найденного (подкинутого) ребенка (</w:t>
      </w:r>
      <w:hyperlink r:id="rId26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3 статьи 19</w:t>
        </w:r>
      </w:hyperlink>
      <w:r>
        <w:rPr>
          <w:sz w:val="24"/>
        </w:rPr>
        <w:t xml:space="preserve"> Федерального закона N 143-ФЗ).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19. В отношении ребенка, оставленного матерью, не пре</w:t>
      </w:r>
      <w:r>
        <w:rPr>
          <w:sz w:val="24"/>
        </w:rPr>
        <w:t xml:space="preserve">дъявившей документа, удостоверяющего ее личность, в медицинской организации, в которой происходили роды или в которую обратилась мать после родов, сведения о фамилии, имени, отчестве (при наличии) ребенка вносятся по указанию органа опеки и попечительства.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20. В отношении ребенка, оставленного матерью</w:t>
      </w:r>
      <w:r>
        <w:rPr>
          <w:sz w:val="24"/>
        </w:rPr>
        <w:t xml:space="preserve">, предъявившей документ, удостоверяющий ее личность, в медицинской организации, в которой происходили роды или в которую обратилась мать после родов, сведения о фамилии, имени, отчестве ребенка вносятся по указанию матери или органа опеки и попечительства.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21. В заявлении о рождении ребенка, оставленного матерью, предъявившей документ, удостоверяющий ее личность, в медицинской организации, </w:t>
      </w:r>
      <w:r>
        <w:rPr>
          <w:sz w:val="24"/>
        </w:rPr>
        <w:t xml:space="preserve">в которой происходили роды или в которую обратилась мать после родов, сведения о матери вносятся на основании медицинского свидетельства о рождении ребенка, выданного медицинской организацией, сведения об отце на основании свидетельства о заключении брака.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22. Строка "Основание для внесения сведений об отце" заполняется в соответствии с данными, указанными в свидетельстве о заключении брака, об установлении отцовства или зая</w:t>
      </w:r>
      <w:r>
        <w:rPr>
          <w:sz w:val="24"/>
        </w:rPr>
        <w:t xml:space="preserve">влении матери, не состоящей в браке с отцом ребенка на момент рождения ребенка, о внесении сведений об отце. Сведения об отце ребенка, родившегося у одинокой матери, могут быть внесены по заявлению матери ребенка. Фамилия отца ребенка записывается по фамил</w:t>
      </w:r>
      <w:r>
        <w:rPr>
          <w:sz w:val="24"/>
        </w:rPr>
        <w:t xml:space="preserve">ии матери, имя и отчество (при наличии) отца ребенка - по ее указанию. Внесенные сведения не являются препятствием для решения вопроса об установлении отцовства. По желанию матери сведения об отце ребенка в заявление о рождении ребенка могут не вноситься (</w:t>
      </w:r>
      <w:hyperlink r:id="rId27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3 статьи 17</w:t>
        </w:r>
      </w:hyperlink>
      <w:r>
        <w:rPr>
          <w:sz w:val="24"/>
        </w:rPr>
        <w:t xml:space="preserve"> Федерального закона N 143-ФЗ).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23. В случае рождения двойни или более детей заявление о рождении </w:t>
      </w:r>
      <w:hyperlink w:tooltip="                           ЗАЯВЛЕНИЕ О РОЖДЕНИИ" w:anchor="P871" w:history="1">
        <w:r>
          <w:rPr>
            <w:color w:val="0000ff"/>
            <w:sz w:val="24"/>
          </w:rPr>
          <w:t xml:space="preserve">(форма N 6)</w:t>
        </w:r>
      </w:hyperlink>
      <w:r>
        <w:rPr>
          <w:sz w:val="24"/>
        </w:rPr>
        <w:t xml:space="preserve"> заполняется на каждого ребенка, при этом указывается последовательность рождения ребенка (первый, второй и т.д.).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23(1). Если государственная регистрация рождения осуществляется в соответствии с </w:t>
      </w:r>
      <w:hyperlink r:id="rId28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пунктом 2.1 статьи 6</w:t>
        </w:r>
      </w:hyperlink>
      <w:r>
        <w:rPr>
          <w:sz w:val="24"/>
        </w:rPr>
        <w:t xml:space="preserve"> Федерального закона N 143-ФЗ, в строке "Свидетельство о рождении" (</w:t>
      </w:r>
      <w:hyperlink w:tooltip="Свидетельство о рождении (отметить знаком V) &lt;3&gt;:" w:anchor="P192" w:history="1">
        <w:r>
          <w:rPr>
            <w:color w:val="0000ff"/>
            <w:sz w:val="24"/>
          </w:rPr>
          <w:t xml:space="preserve">формы N 1</w:t>
        </w:r>
      </w:hyperlink>
      <w:r>
        <w:rPr>
          <w:sz w:val="24"/>
        </w:rPr>
        <w:t xml:space="preserve"> и </w:t>
      </w:r>
      <w:hyperlink w:tooltip="Свидетельство о рождении (отметить знаком V) &lt;3&gt;:" w:anchor="P341" w:history="1">
        <w:r>
          <w:rPr>
            <w:color w:val="0000ff"/>
            <w:sz w:val="24"/>
          </w:rPr>
          <w:t xml:space="preserve">N 2</w:t>
        </w:r>
      </w:hyperlink>
      <w:r>
        <w:rPr>
          <w:sz w:val="24"/>
        </w:rPr>
        <w:t xml:space="preserve">) отмечается одно из значений: "желаю получить" (указывается наименование органа, осуществляющего государственную регист</w:t>
      </w:r>
      <w:r>
        <w:rPr>
          <w:sz w:val="24"/>
        </w:rPr>
        <w:t xml:space="preserve">рацию актов гражданского состояния, в котором родители (мать) желают получить свидетельство о рождении на бумажном носителе), либо "прошу не выдавать" (в случае, если родители (мать) отказываются от получения свидетельства о рождении на бумажном носителе).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После государственной регистрации рождения заявитель при необходимости вправе обратиться в орган, осуществляющий государственную регистрацию актов гражданского состояния, для получения свидетельства о рождении в порядке, предусмотренном </w:t>
      </w:r>
      <w:hyperlink r:id="rId29" w:tooltip="Постановление Правительства РФ от 09.07.2021 N 1153 &quot;Об особенностях государственной регистрации рождения и государственной регистрации смерти в случае поступления в форме электронных документов заявления о рождении ребенка либо заявления о смерти, а также документа, являющегося в соответствии с абзацами вторым и третьим пункта 1 статьи 14 и абзацем вторым статьи 64 Федерального закона &quot;Об актах гражданского состояния&quot; основанием для государственной регистрации рождения либо государственной регистрации смер {КонсультантПлюс}" w:history="1">
        <w:r>
          <w:rPr>
            <w:color w:val="0000ff"/>
            <w:sz w:val="24"/>
          </w:rPr>
          <w:t xml:space="preserve">пунктами 12</w:t>
        </w:r>
      </w:hyperlink>
      <w:r>
        <w:rPr>
          <w:sz w:val="24"/>
        </w:rPr>
        <w:t xml:space="preserve"> и </w:t>
      </w:r>
      <w:hyperlink r:id="rId30" w:tooltip="Постановление Правительства РФ от 09.07.2021 N 1153 &quot;Об особенностях государственной регистрации рождения и государственной регистрации смерти в случае поступления в форме электронных документов заявления о рождении ребенка либо заявления о смерти, а также документа, являющегося в соответствии с абзацами вторым и третьим пункта 1 статьи 14 и абзацем вторым статьи 64 Федерального закона &quot;Об актах гражданского состояния&quot; основанием для государственной регистрации рождения либо государственной регистрации смер {КонсультантПлюс}" w:history="1">
        <w:r>
          <w:rPr>
            <w:color w:val="0000ff"/>
            <w:sz w:val="24"/>
          </w:rPr>
          <w:t xml:space="preserve">13</w:t>
        </w:r>
      </w:hyperlink>
      <w:r>
        <w:rPr>
          <w:sz w:val="24"/>
        </w:rPr>
        <w:t xml:space="preserve"> Положения об особенностях государственной регистрации рождения и государственной регистрации смерти в случае поступления в форме электронных документов заявления о рождении ребенка либо заявления о смерти, а также документа, являющегося в </w:t>
      </w:r>
      <w:r>
        <w:rPr>
          <w:sz w:val="24"/>
        </w:rPr>
        <w:t xml:space="preserve">соответствии с абзацами вторым и третьим пункта 1 статьи 14 и абзацем вторым статьи 64 Федерального закона "Об актах гражданского состояния" основанием для государственной регистрации рождения либо государственной регистрации смерти, через федеральную госу</w:t>
      </w:r>
      <w:r>
        <w:rPr>
          <w:sz w:val="24"/>
        </w:rPr>
        <w:t xml:space="preserve">дарственную информационную систему "Единый портал государственных и муниципальных услуг (функций)", утвержденного постановлением Правительства Российской Федерации от 09.07.2021 N 1153 (Собрание законодательства Российской Федерации, 2021, N 29, ст. 5658).</w:t>
      </w:r>
      <w:r/>
    </w:p>
    <w:p>
      <w:pPr>
        <w:pStyle w:val="834"/>
        <w:jc w:val="both"/>
      </w:pPr>
      <w:r>
        <w:rPr>
          <w:sz w:val="24"/>
        </w:rPr>
        <w:t xml:space="preserve">(п. 23(1) введен </w:t>
      </w:r>
      <w:hyperlink r:id="rId31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Приказом</w:t>
        </w:r>
      </w:hyperlink>
      <w:r>
        <w:rPr>
          <w:sz w:val="24"/>
        </w:rPr>
        <w:t xml:space="preserve"> Минюста России от 25.10.2021 N 200)</w:t>
      </w:r>
      <w:r/>
    </w:p>
    <w:p>
      <w:pPr>
        <w:pStyle w:val="834"/>
        <w:jc w:val="both"/>
      </w:pPr>
      <w:r>
        <w:rPr>
          <w:sz w:val="24"/>
        </w:rPr>
      </w:r>
      <w:r/>
    </w:p>
    <w:sectPr>
      <w:footnotePr/>
      <w:endnotePr/>
      <w:type w:val="nextPage"/>
      <w:pgSz w:w="11906" w:h="16838" w:orient="portrait"/>
      <w:pgMar w:top="1440" w:right="566" w:bottom="1440" w:left="1133" w:header="0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ourier New">
    <w:panose1 w:val="020704090202050204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Normal"/>
    <w:qFormat/>
  </w:style>
  <w:style w:type="paragraph" w:styleId="656">
    <w:name w:val="Heading 1"/>
    <w:basedOn w:val="655"/>
    <w:next w:val="655"/>
    <w:link w:val="657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7">
    <w:name w:val="Heading 1 Char"/>
    <w:link w:val="65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8">
    <w:name w:val="Heading 2"/>
    <w:basedOn w:val="655"/>
    <w:next w:val="655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9">
    <w:name w:val="Heading 2 Char"/>
    <w:link w:val="658"/>
    <w:uiPriority w:val="9"/>
    <w:rPr>
      <w:rFonts w:ascii="Liberation Sans" w:hAnsi="Liberation Sans" w:eastAsia="Liberation Sans" w:cs="Liberation Sans"/>
      <w:sz w:val="34"/>
    </w:rPr>
  </w:style>
  <w:style w:type="paragraph" w:styleId="660">
    <w:name w:val="Heading 3"/>
    <w:basedOn w:val="655"/>
    <w:next w:val="655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1">
    <w:name w:val="Heading 3 Char"/>
    <w:link w:val="660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2">
    <w:name w:val="Heading 4"/>
    <w:basedOn w:val="655"/>
    <w:next w:val="655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3">
    <w:name w:val="Heading 4 Char"/>
    <w:link w:val="66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4">
    <w:name w:val="Heading 5"/>
    <w:basedOn w:val="655"/>
    <w:next w:val="655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5">
    <w:name w:val="Heading 5 Char"/>
    <w:link w:val="66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6">
    <w:name w:val="Heading 6"/>
    <w:basedOn w:val="655"/>
    <w:next w:val="655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7">
    <w:name w:val="Heading 6 Char"/>
    <w:link w:val="66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8">
    <w:name w:val="Heading 7"/>
    <w:basedOn w:val="655"/>
    <w:next w:val="655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9">
    <w:name w:val="Heading 7 Char"/>
    <w:link w:val="66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0">
    <w:name w:val="Heading 8"/>
    <w:basedOn w:val="655"/>
    <w:next w:val="655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1">
    <w:name w:val="Heading 8 Char"/>
    <w:link w:val="67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2">
    <w:name w:val="Heading 9"/>
    <w:basedOn w:val="655"/>
    <w:next w:val="655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3">
    <w:name w:val="Heading 9 Char"/>
    <w:link w:val="67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4">
    <w:name w:val="List Paragraph"/>
    <w:basedOn w:val="655"/>
    <w:uiPriority w:val="34"/>
    <w:qFormat/>
    <w:pPr>
      <w:contextualSpacing/>
      <w:ind w:left="720"/>
    </w:p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655"/>
    <w:next w:val="655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link w:val="676"/>
    <w:uiPriority w:val="10"/>
    <w:rPr>
      <w:sz w:val="48"/>
      <w:szCs w:val="48"/>
    </w:rPr>
  </w:style>
  <w:style w:type="paragraph" w:styleId="678">
    <w:name w:val="Subtitle"/>
    <w:basedOn w:val="655"/>
    <w:next w:val="655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link w:val="678"/>
    <w:uiPriority w:val="11"/>
    <w:rPr>
      <w:sz w:val="24"/>
      <w:szCs w:val="24"/>
    </w:rPr>
  </w:style>
  <w:style w:type="paragraph" w:styleId="680">
    <w:name w:val="Quote"/>
    <w:basedOn w:val="655"/>
    <w:next w:val="655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655"/>
    <w:next w:val="655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655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link w:val="684"/>
    <w:uiPriority w:val="99"/>
  </w:style>
  <w:style w:type="paragraph" w:styleId="686">
    <w:name w:val="Footer"/>
    <w:basedOn w:val="655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link w:val="686"/>
    <w:uiPriority w:val="99"/>
  </w:style>
  <w:style w:type="paragraph" w:styleId="688">
    <w:name w:val="Caption"/>
    <w:basedOn w:val="655"/>
    <w:next w:val="655"/>
    <w:link w:val="68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link w:val="688"/>
    <w:uiPriority w:val="35"/>
    <w:rPr>
      <w:b/>
      <w:bCs/>
      <w:color w:val="4f81bd" w:themeColor="accent1"/>
      <w:sz w:val="18"/>
      <w:szCs w:val="18"/>
    </w:rPr>
  </w:style>
  <w:style w:type="table" w:styleId="69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6">
    <w:name w:val="Hyperlink"/>
    <w:uiPriority w:val="99"/>
    <w:unhideWhenUsed/>
    <w:rPr>
      <w:color w:val="0000ff" w:themeColor="hyperlink"/>
      <w:u w:val="single"/>
    </w:rPr>
  </w:style>
  <w:style w:type="paragraph" w:styleId="817">
    <w:name w:val="footnote text"/>
    <w:basedOn w:val="655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uiPriority w:val="99"/>
    <w:unhideWhenUsed/>
    <w:rPr>
      <w:vertAlign w:val="superscript"/>
    </w:rPr>
  </w:style>
  <w:style w:type="paragraph" w:styleId="820">
    <w:name w:val="endnote text"/>
    <w:basedOn w:val="655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uiPriority w:val="99"/>
    <w:semiHidden/>
    <w:unhideWhenUsed/>
    <w:rPr>
      <w:vertAlign w:val="superscript"/>
    </w:rPr>
  </w:style>
  <w:style w:type="paragraph" w:styleId="823">
    <w:name w:val="toc 1"/>
    <w:basedOn w:val="655"/>
    <w:next w:val="655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655"/>
    <w:next w:val="655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655"/>
    <w:next w:val="655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655"/>
    <w:next w:val="655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655"/>
    <w:next w:val="655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655"/>
    <w:next w:val="655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655"/>
    <w:next w:val="655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655"/>
    <w:next w:val="655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655"/>
    <w:next w:val="655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655"/>
    <w:next w:val="655"/>
    <w:uiPriority w:val="99"/>
    <w:unhideWhenUsed/>
    <w:pPr>
      <w:spacing w:after="0" w:afterAutospacing="0"/>
    </w:pPr>
  </w:style>
  <w:style w:type="paragraph" w:styleId="834" w:default="1" w:customStyle="1">
    <w:name w:val="ConsPlusNormal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paragraph" w:styleId="835" w:customStyle="1">
    <w:name w:val="ConsPlusNonformat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36" w:customStyle="1">
    <w:name w:val="ConsPlusTitle"/>
    <w:pPr>
      <w:widowControl w:val="off"/>
    </w:pPr>
    <w:rPr>
      <w:rFonts w:ascii="Arial" w:hAnsi="Arial" w:cs="Arial"/>
      <w:b/>
      <w:sz w:val="24"/>
      <w:lang w:val="ru-RU" w:eastAsia="ru-RU" w:bidi="ar-SA"/>
    </w:rPr>
  </w:style>
  <w:style w:type="paragraph" w:styleId="837" w:customStyle="1">
    <w:name w:val="ConsPlusCell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38" w:customStyle="1">
    <w:name w:val="ConsPlusDocList"/>
    <w:pPr>
      <w:widowControl w:val="off"/>
    </w:pPr>
    <w:rPr>
      <w:rFonts w:ascii="Tahoma" w:hAnsi="Tahoma" w:cs="Tahoma"/>
      <w:sz w:val="18"/>
      <w:lang w:val="ru-RU" w:eastAsia="ru-RU" w:bidi="ar-SA"/>
    </w:rPr>
  </w:style>
  <w:style w:type="paragraph" w:styleId="839" w:customStyle="1">
    <w:name w:val="ConsPlusTitlePage"/>
    <w:pPr>
      <w:widowControl w:val="off"/>
    </w:pPr>
    <w:rPr>
      <w:rFonts w:ascii="Tahoma" w:hAnsi="Tahoma" w:cs="Tahoma"/>
      <w:sz w:val="20"/>
      <w:lang w:val="ru-RU" w:eastAsia="ru-RU" w:bidi="ar-SA"/>
    </w:rPr>
  </w:style>
  <w:style w:type="paragraph" w:styleId="840" w:customStyle="1">
    <w:name w:val="ConsPlusJurTerm"/>
    <w:pPr>
      <w:widowControl w:val="off"/>
    </w:pPr>
    <w:rPr>
      <w:rFonts w:ascii="Tahoma" w:hAnsi="Tahoma" w:cs="Tahoma"/>
      <w:sz w:val="26"/>
      <w:lang w:val="ru-RU" w:eastAsia="ru-RU" w:bidi="ar-SA"/>
    </w:rPr>
  </w:style>
  <w:style w:type="paragraph" w:styleId="841" w:customStyle="1">
    <w:name w:val="ConsPlusJurTerm"/>
    <w:pPr>
      <w:widowControl w:val="off"/>
    </w:pPr>
    <w:rPr>
      <w:rFonts w:ascii="Tahoma" w:hAnsi="Tahoma" w:cs="Tahoma"/>
      <w:sz w:val="26"/>
      <w:lang w:val="ru-RU" w:eastAsia="ru-RU" w:bidi="ar-SA"/>
    </w:rPr>
  </w:style>
  <w:style w:type="paragraph" w:styleId="842" w:customStyle="1">
    <w:name w:val="ConsPlusTextList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paragraph" w:styleId="843" w:customStyle="1">
    <w:name w:val="ConsPlusTextList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character" w:styleId="844" w:default="1">
    <w:name w:val="Default Paragraph Font"/>
    <w:uiPriority w:val="1"/>
    <w:semiHidden/>
    <w:unhideWhenUsed/>
  </w:style>
  <w:style w:type="numbering" w:styleId="845" w:default="1">
    <w:name w:val="No List"/>
    <w:uiPriority w:val="99"/>
    <w:semiHidden/>
    <w:unhideWhenUsed/>
  </w:style>
  <w:style w:type="table" w:styleId="84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login.consultant.ru/link/?req=doc&amp;base=LAW&amp;n=399428&amp;date=14.08.2026&amp;dst=100302&amp;field=134" TargetMode="External"/><Relationship Id="rId9" Type="http://schemas.openxmlformats.org/officeDocument/2006/relationships/hyperlink" Target="https://login.consultant.ru/link/?req=doc&amp;base=LAW&amp;n=425727&amp;date=14.08.2026&amp;dst=100015&amp;field=134" TargetMode="External"/><Relationship Id="rId10" Type="http://schemas.openxmlformats.org/officeDocument/2006/relationships/hyperlink" Target="https://login.consultant.ru/link/?req=doc&amp;base=LAW&amp;n=451079&amp;date=14.08.2026&amp;dst=100011&amp;field=134" TargetMode="External"/><Relationship Id="rId11" Type="http://schemas.openxmlformats.org/officeDocument/2006/relationships/hyperlink" Target="https://login.consultant.ru/link/?req=doc&amp;base=LAW&amp;n=460563&amp;date=14.08.2026&amp;dst=100066&amp;field=134" TargetMode="External"/><Relationship Id="rId12" Type="http://schemas.openxmlformats.org/officeDocument/2006/relationships/hyperlink" Target="https://login.consultant.ru/link/?req=doc&amp;base=LAW&amp;n=461648&amp;date=14.08.2026&amp;dst=100016&amp;field=134" TargetMode="External"/><Relationship Id="rId13" Type="http://schemas.openxmlformats.org/officeDocument/2006/relationships/hyperlink" Target="https://login.consultant.ru/link/?req=doc&amp;base=LAW&amp;n=541072&amp;date=14.08.2026" TargetMode="External"/><Relationship Id="rId14" Type="http://schemas.openxmlformats.org/officeDocument/2006/relationships/hyperlink" Target="https://login.consultant.ru/link/?req=doc&amp;base=LAW&amp;n=399428&amp;date=14.08.2026&amp;dst=100304&amp;field=134" TargetMode="External"/><Relationship Id="rId15" Type="http://schemas.openxmlformats.org/officeDocument/2006/relationships/hyperlink" Target="https://login.consultant.ru/link/?req=doc&amp;base=LAW&amp;n=399428&amp;date=14.08.2026&amp;dst=100305&amp;field=134" TargetMode="External"/><Relationship Id="rId16" Type="http://schemas.openxmlformats.org/officeDocument/2006/relationships/hyperlink" Target="https://login.consultant.ru/link/?req=doc&amp;base=LAW&amp;n=541072&amp;date=14.08.2026&amp;dst=100093&amp;field=134" TargetMode="External"/><Relationship Id="rId17" Type="http://schemas.openxmlformats.org/officeDocument/2006/relationships/hyperlink" Target="https://login.consultant.ru/link/?req=doc&amp;base=LAW&amp;n=425727&amp;date=14.08.2026&amp;dst=100015&amp;field=134" TargetMode="External"/><Relationship Id="rId18" Type="http://schemas.openxmlformats.org/officeDocument/2006/relationships/hyperlink" Target="https://login.consultant.ru/link/?req=doc&amp;base=LAW&amp;n=541072&amp;date=14.08.2026" TargetMode="External"/><Relationship Id="rId19" Type="http://schemas.openxmlformats.org/officeDocument/2006/relationships/hyperlink" Target="https://login.consultant.ru/link/?req=doc&amp;base=LAW&amp;n=541072&amp;date=14.08.2026&amp;dst=100099&amp;field=134" TargetMode="External"/><Relationship Id="rId20" Type="http://schemas.openxmlformats.org/officeDocument/2006/relationships/hyperlink" Target="https://login.consultant.ru/link/?req=doc&amp;base=LAW&amp;n=541072&amp;date=14.08.2026&amp;dst=100251&amp;field=134" TargetMode="External"/><Relationship Id="rId21" Type="http://schemas.openxmlformats.org/officeDocument/2006/relationships/hyperlink" Target="https://login.consultant.ru/link/?req=doc&amp;base=LAW&amp;n=541072&amp;date=14.08.2026&amp;dst=286&amp;field=134" TargetMode="External"/><Relationship Id="rId22" Type="http://schemas.openxmlformats.org/officeDocument/2006/relationships/hyperlink" Target="https://login.consultant.ru/link/?req=doc&amp;base=LAW&amp;n=541072&amp;date=14.08.2026&amp;dst=100354&amp;field=134" TargetMode="External"/><Relationship Id="rId23" Type="http://schemas.openxmlformats.org/officeDocument/2006/relationships/hyperlink" Target="https://login.consultant.ru/link/?req=doc&amp;base=LAW&amp;n=399428&amp;date=14.08.2026&amp;dst=100308&amp;field=134" TargetMode="External"/><Relationship Id="rId24" Type="http://schemas.openxmlformats.org/officeDocument/2006/relationships/hyperlink" Target="https://login.consultant.ru/link/?req=doc&amp;base=LAW&amp;n=541072&amp;date=14.08.2026&amp;dst=100113&amp;field=134" TargetMode="External"/><Relationship Id="rId25" Type="http://schemas.openxmlformats.org/officeDocument/2006/relationships/hyperlink" Target="https://login.consultant.ru/link/?req=doc&amp;base=LAW&amp;n=541072&amp;date=14.08.2026&amp;dst=100118&amp;field=134" TargetMode="External"/><Relationship Id="rId26" Type="http://schemas.openxmlformats.org/officeDocument/2006/relationships/hyperlink" Target="https://login.consultant.ru/link/?req=doc&amp;base=LAW&amp;n=541072&amp;date=14.08.2026&amp;dst=100127&amp;field=134" TargetMode="External"/><Relationship Id="rId27" Type="http://schemas.openxmlformats.org/officeDocument/2006/relationships/hyperlink" Target="https://login.consultant.ru/link/?req=doc&amp;base=LAW&amp;n=541072&amp;date=14.08.2026&amp;dst=100108&amp;field=134" TargetMode="External"/><Relationship Id="rId28" Type="http://schemas.openxmlformats.org/officeDocument/2006/relationships/hyperlink" Target="https://login.consultant.ru/link/?req=doc&amp;base=LAW&amp;n=541072&amp;date=14.08.2026&amp;dst=100601&amp;field=134" TargetMode="External"/><Relationship Id="rId29" Type="http://schemas.openxmlformats.org/officeDocument/2006/relationships/hyperlink" Target="https://login.consultant.ru/link/?req=doc&amp;base=LAW&amp;n=390201&amp;date=14.08.2026&amp;dst=100029&amp;field=134" TargetMode="External"/><Relationship Id="rId30" Type="http://schemas.openxmlformats.org/officeDocument/2006/relationships/hyperlink" Target="https://login.consultant.ru/link/?req=doc&amp;base=LAW&amp;n=390201&amp;date=14.08.2026&amp;dst=100030&amp;field=134" TargetMode="External"/><Relationship Id="rId31" Type="http://schemas.openxmlformats.org/officeDocument/2006/relationships/hyperlink" Target="https://login.consultant.ru/link/?req=doc&amp;base=LAW&amp;n=399428&amp;date=14.08.2026&amp;dst=100309&amp;field=13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Минюста России от 01.10.2018 N 201
(ред. от 08.11.2023)
"Об утверждении форм заявлений о государственной регистрации актов гражданского состояния и Правил заполнения форм заявлений о государственной регистрации актов гражданского состояния"
(Зарегистрировано в Минюсте России 02.10.2018 N 52300)</dc:title>
  <cp:lastModifiedBy>ivtaran</cp:lastModifiedBy>
  <cp:revision>2</cp:revision>
  <dcterms:created xsi:type="dcterms:W3CDTF">2026-08-14T08:34:35Z</dcterms:created>
  <dcterms:modified xsi:type="dcterms:W3CDTF">2026-08-14T08:51:27Z</dcterms:modified>
</cp:coreProperties>
</file>