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-314"/>
        <w:jc w:val="right"/>
        <w:rPr>
          <w:rFonts w:ascii="PT Astra Serif" w:hAnsi="PT Astra Serif"/>
          <w:sz w:val="24"/>
          <w:szCs w:val="24"/>
          <w:lang w:val="en-US"/>
        </w:rPr>
      </w:pPr>
      <w:r>
        <w:rPr>
          <w:rFonts w:cs="Times New Roman" w:ascii="PT Astra Serif" w:hAnsi="PT Astra Serif"/>
          <w:sz w:val="24"/>
          <w:szCs w:val="24"/>
        </w:rPr>
        <w:t>Приложение</w:t>
      </w:r>
    </w:p>
    <w:p>
      <w:pPr>
        <w:pStyle w:val="Normal"/>
        <w:spacing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>Информация</w:t>
      </w:r>
    </w:p>
    <w:p>
      <w:pPr>
        <w:pStyle w:val="Normal"/>
        <w:spacing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>о выполнении мероприятий региональной программы противодействия коррупции в 2025 году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  <w:u w:val="single"/>
        </w:rPr>
      </w:pPr>
      <w:r>
        <w:rPr>
          <w:rFonts w:cs="Times New Roman" w:ascii="PT Astra Serif" w:hAnsi="PT Astra Serif"/>
          <w:sz w:val="24"/>
          <w:szCs w:val="24"/>
          <w:u w:val="single"/>
        </w:rPr>
        <w:t>Департамента ЗАГС Томской области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cs="Times New Roman" w:ascii="PT Astra Serif" w:hAnsi="PT Astra Serif"/>
          <w:i/>
          <w:sz w:val="24"/>
          <w:szCs w:val="24"/>
        </w:rPr>
        <w:t>(наименование исполнительного органа Томской области)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sz w:val="24"/>
          <w:szCs w:val="24"/>
          <w:lang w:eastAsia="ru-RU"/>
        </w:rPr>
      </w:r>
    </w:p>
    <w:tbl>
      <w:tblPr>
        <w:tblW w:w="14454" w:type="dxa"/>
        <w:jc w:val="left"/>
        <w:tblInd w:w="-27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4a0"/>
      </w:tblPr>
      <w:tblGrid>
        <w:gridCol w:w="709"/>
        <w:gridCol w:w="4107"/>
        <w:gridCol w:w="9638"/>
      </w:tblGrid>
      <w:tr>
        <w:trPr>
          <w:trHeight w:val="662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№</w:t>
            </w:r>
          </w:p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Информация о выполнении мероприятия Программы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Мониторинг антикоррупционного законодательства, принятие нормативных правовых актов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Томской области, направленных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на противодействие коррупции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"/>
              <w:shd w:val="clear" w:color="auto" w:fill="auto"/>
              <w:spacing w:before="0" w:after="0"/>
              <w:ind w:hanging="0" w:left="0" w:right="141"/>
              <w:jc w:val="left"/>
              <w:rPr/>
            </w:pPr>
            <w:r>
              <w:rPr>
                <w:rFonts w:ascii="PT Astra Serif" w:hAnsi="PT Astra Serif"/>
                <w:color w:val="auto"/>
                <w:kern w:val="0"/>
                <w:sz w:val="24"/>
                <w:szCs w:val="24"/>
                <w:lang w:val="ru-RU"/>
              </w:rPr>
              <w:t xml:space="preserve">Мониторинг </w:t>
            </w:r>
            <w:r>
              <w:rPr>
                <w:rStyle w:val="11pt"/>
                <w:rFonts w:cs="PT Astra Serif" w:ascii="PT Astra Serif" w:hAnsi="PT Astra Serif"/>
                <w:color w:val="auto"/>
                <w:kern w:val="0"/>
                <w:sz w:val="24"/>
                <w:szCs w:val="24"/>
              </w:rPr>
              <w:t>антикоррупционного законодательства</w:t>
            </w:r>
            <w:r>
              <w:rPr>
                <w:rFonts w:ascii="PT Astra Serif" w:hAnsi="PT Astra Serif"/>
                <w:color w:val="auto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color w:val="auto"/>
                <w:kern w:val="0"/>
                <w:sz w:val="24"/>
                <w:szCs w:val="24"/>
                <w:lang w:val="ru-RU"/>
              </w:rPr>
              <w:t xml:space="preserve">Департаментом </w:t>
            </w:r>
            <w:r>
              <w:rPr>
                <w:rFonts w:ascii="PT Astra Serif" w:hAnsi="PT Astra Serif"/>
                <w:color w:val="auto"/>
                <w:kern w:val="0"/>
                <w:sz w:val="24"/>
                <w:szCs w:val="24"/>
                <w:lang w:val="ru-RU"/>
              </w:rPr>
              <w:t xml:space="preserve">проводится постоянно. Изменений в </w:t>
            </w:r>
            <w:r>
              <w:rPr>
                <w:rStyle w:val="11pt"/>
                <w:rFonts w:cs="PT Astra Serif" w:ascii="PT Astra Serif" w:hAnsi="PT Astra Serif"/>
                <w:color w:val="auto"/>
                <w:kern w:val="0"/>
                <w:sz w:val="24"/>
                <w:szCs w:val="24"/>
              </w:rPr>
              <w:t>принят</w:t>
            </w:r>
            <w:r>
              <w:rPr>
                <w:rStyle w:val="11pt"/>
                <w:rFonts w:cs="PT Astra Serif" w:ascii="PT Astra Serif" w:hAnsi="PT Astra Serif"/>
                <w:color w:val="auto"/>
                <w:kern w:val="0"/>
                <w:sz w:val="24"/>
                <w:szCs w:val="24"/>
              </w:rPr>
              <w:t>ы</w:t>
            </w:r>
            <w:r>
              <w:rPr>
                <w:rStyle w:val="11pt"/>
                <w:rFonts w:cs="PT Astra Serif" w:ascii="PT Astra Serif" w:hAnsi="PT Astra Serif"/>
                <w:color w:val="auto"/>
                <w:kern w:val="0"/>
                <w:sz w:val="24"/>
                <w:szCs w:val="24"/>
              </w:rPr>
              <w:t xml:space="preserve">е нормативные правовые акты Департамента, направленные на противодействие коррупции </w:t>
            </w:r>
            <w:r>
              <w:rPr>
                <w:rFonts w:ascii="PT Astra Serif" w:hAnsi="PT Astra Serif"/>
                <w:color w:val="auto"/>
                <w:kern w:val="0"/>
                <w:sz w:val="24"/>
                <w:szCs w:val="24"/>
                <w:lang w:val="ru-RU"/>
              </w:rPr>
              <w:t xml:space="preserve">в отчетный период </w:t>
            </w:r>
            <w:r>
              <w:rPr>
                <w:rStyle w:val="11pt"/>
                <w:rFonts w:cs="PT Astra Serif" w:ascii="PT Astra Serif" w:hAnsi="PT Astra Serif"/>
                <w:color w:val="auto"/>
                <w:kern w:val="0"/>
                <w:sz w:val="24"/>
                <w:szCs w:val="24"/>
              </w:rPr>
              <w:t>не вносил</w:t>
            </w:r>
            <w:r>
              <w:rPr>
                <w:rStyle w:val="11pt"/>
                <w:rFonts w:cs="PT Astra Serif" w:ascii="PT Astra Serif" w:hAnsi="PT Astra Serif"/>
                <w:color w:val="auto"/>
                <w:kern w:val="0"/>
                <w:sz w:val="24"/>
                <w:szCs w:val="24"/>
              </w:rPr>
              <w:t>и</w:t>
            </w:r>
            <w:r>
              <w:rPr>
                <w:rStyle w:val="11pt"/>
                <w:rFonts w:cs="PT Astra Serif" w:ascii="PT Astra Serif" w:hAnsi="PT Astra Serif"/>
                <w:color w:val="auto"/>
                <w:kern w:val="0"/>
                <w:sz w:val="24"/>
                <w:szCs w:val="24"/>
              </w:rPr>
              <w:t>сь.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hanging="0" w:left="0" w:right="0"/>
              <w:jc w:val="left"/>
              <w:rPr>
                <w:rFonts w:ascii="PT Astra Serif" w:hAnsi="PT Astra Serif" w:cs="PT Astra Serif"/>
                <w:color w:val="000000"/>
                <w:sz w:val="24"/>
                <w:szCs w:val="24"/>
                <w:shd w:fill="auto" w:val="clear"/>
              </w:rPr>
            </w:pPr>
            <w:r>
              <w:rPr>
                <w:rFonts w:cs="PT Astra Serif" w:ascii="PT Astra Serif" w:hAnsi="PT Astra Serif"/>
                <w:color w:val="000000"/>
                <w:sz w:val="24"/>
                <w:szCs w:val="24"/>
                <w:shd w:fill="auto" w:val="clear"/>
              </w:rPr>
            </w:r>
          </w:p>
        </w:tc>
      </w:tr>
      <w:tr>
        <w:trPr>
          <w:trHeight w:val="5047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Анализ содержания действующих нормативных правовых и иных актов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в сфере противодействия коррупции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и приведение их в соответствие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с законодательством Российской Федерации по вопросам противодействия коррупции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(при необходимости)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В ходе мониторинга</w:t>
            </w: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 xml:space="preserve"> </w:t>
            </w:r>
            <w:r>
              <w:rPr>
                <w:rFonts w:cs="PT Astra Serif" w:ascii="PT Astra Serif" w:hAnsi="PT Astra Serif"/>
                <w:sz w:val="24"/>
                <w:szCs w:val="24"/>
                <w:lang w:val="ru-RU"/>
              </w:rPr>
              <w:t xml:space="preserve">и анализа действующих нормативных правовых и иных актов в сфере противодействия коррупции и приведение их в соответствие с законодательством РФ по вопросам противодействия коррупции - </w:t>
            </w:r>
            <w:r>
              <w:rPr>
                <w:rFonts w:cs="PT Astra Serif" w:ascii="PT Astra Serif" w:hAnsi="PT Astra Serif"/>
                <w:color w:val="000000"/>
                <w:sz w:val="24"/>
                <w:szCs w:val="24"/>
                <w:shd w:fill="auto" w:val="clear"/>
                <w:lang w:val="ru-RU"/>
              </w:rPr>
              <w:t>три</w:t>
            </w:r>
            <w:r>
              <w:rPr>
                <w:rFonts w:cs="PT Astra Serif" w:ascii="PT Astra Serif" w:hAnsi="PT Astra Serif"/>
                <w:sz w:val="24"/>
                <w:szCs w:val="24"/>
                <w:lang w:val="ru-RU"/>
              </w:rPr>
              <w:t xml:space="preserve"> распоряжения приведены в соответствие с действующим законодательством по вопросам противодействия коррупции: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  <w:lang w:val="ru-RU"/>
              </w:rPr>
              <w:t xml:space="preserve">- распоряжение Департамента от 04.02.2025 № 10 «О назначении ответственного лица за направление сведений в Администрацию Томской области для их включения в реестр лиц, уволенных в связи с утратой доверия, а также для исключения из реестра сведений» </w:t>
            </w: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  <w:lang w:val="ru-RU"/>
              </w:rPr>
              <w:t>(принят в новой редакции). Предыдущее распоряжение Департамента от 23.04.2018 № 22 «</w:t>
            </w:r>
            <w:r>
              <w:rPr>
                <w:rFonts w:eastAsia="Times New Roman" w:cs="PT Astra Serif" w:ascii="PT Astra Serif" w:hAnsi="PT Astra Serif"/>
                <w:b w:val="false"/>
                <w:bCs w:val="false"/>
                <w:i w:val="false"/>
                <w:strike w:val="false"/>
                <w:dstrike w:val="false"/>
                <w:sz w:val="24"/>
                <w:szCs w:val="24"/>
                <w:u w:val="none"/>
                <w:shd w:fill="auto" w:val="clear"/>
                <w:lang w:val="ru-RU" w:eastAsia="ru-RU" w:bidi="en-US"/>
              </w:rPr>
              <w:t>О назначении ответственного лица за направление сведений в Администрацию Томской области для их включения в реестр лиц, уволенных в связи с утратой доверия, а также для исключения из реестра сведений</w:t>
            </w: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  <w:lang w:val="ru-RU"/>
              </w:rPr>
              <w:t>» признан утратившим силу.</w:t>
            </w:r>
          </w:p>
          <w:p>
            <w:pPr>
              <w:pStyle w:val="Normal"/>
              <w:widowControl/>
              <w:spacing w:lineRule="auto" w:line="240" w:before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  <w:lang w:val="ru-RU"/>
              </w:rPr>
              <w:t>- распоряжение Департамента от 17.02.2025 № 17 «</w:t>
            </w:r>
            <w:r>
              <w:rPr>
                <w:rFonts w:eastAsia="Times New Roman" w:cs="PT Astra Serif" w:ascii="PT Astra Serif" w:hAnsi="PT Astra Serif"/>
                <w:color w:val="000000"/>
                <w:sz w:val="24"/>
                <w:szCs w:val="24"/>
                <w:shd w:fill="auto" w:val="clear"/>
                <w:lang w:val="ru-RU" w:bidi="en-US"/>
              </w:rPr>
              <w:t>Об утверждении Плана мероприятий по противодействию коррупции в Департаменте ЗАГС Томской области на 2025 - 2028 годы» (принят в новой редакции).</w:t>
            </w:r>
          </w:p>
          <w:p>
            <w:pPr>
              <w:pStyle w:val="Normal"/>
              <w:widowControl/>
              <w:spacing w:lineRule="auto" w:line="240" w:before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PT Astra Serif" w:ascii="PT Astra Serif" w:hAnsi="PT Astra Serif"/>
                <w:color w:val="000000"/>
                <w:sz w:val="24"/>
                <w:szCs w:val="24"/>
                <w:shd w:fill="auto" w:val="clear"/>
                <w:lang w:val="ru-RU" w:eastAsia="ru-RU" w:bidi="en-US"/>
              </w:rPr>
              <w:t>-  распоряжение Департамента от 20.10.2025 № 95 «</w:t>
            </w:r>
            <w:r>
              <w:rPr>
                <w:rFonts w:eastAsia="Times New Roman" w:cs="Times New Roman" w:ascii="PT Astra Serif" w:hAnsi="PT Astra Serif"/>
                <w:b w:val="false"/>
                <w:i w:val="false"/>
                <w:color w:val="000000"/>
                <w:sz w:val="24"/>
                <w:szCs w:val="24"/>
                <w:shd w:fill="auto" w:val="clear"/>
                <w:lang w:eastAsia="ru-RU"/>
              </w:rPr>
              <w:t xml:space="preserve">Об утверждении Кодекса этики и служебного поведения государственных гражданских служащих Томской области, проходящих службу в Департаменте ЗАГС Томской области» </w:t>
            </w:r>
            <w:r>
              <w:rPr>
                <w:rFonts w:eastAsia="Times New Roman" w:cs="PT Astra Serif" w:ascii="PT Astra Serif" w:hAnsi="PT Astra Serif"/>
                <w:b w:val="false"/>
                <w:i w:val="false"/>
                <w:color w:val="000000"/>
                <w:sz w:val="24"/>
                <w:szCs w:val="24"/>
                <w:shd w:fill="auto" w:val="clear"/>
                <w:lang w:val="ru-RU" w:eastAsia="ru-RU" w:bidi="en-US"/>
              </w:rPr>
              <w:t>(принято в соответствие с действующим законодательством).</w:t>
            </w:r>
          </w:p>
        </w:tc>
      </w:tr>
      <w:tr>
        <w:trPr>
          <w:trHeight w:val="2683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Разработка и утверждение планов противодействия коррупции государственными органами Томской области и органами власти Томской области.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Своевременное внесение в планы противодействия коррупции изменений с учетом изменений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в законодательстве Российской Федерации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b w:val="false"/>
                <w:i w:val="false"/>
                <w:color w:val="000000"/>
                <w:sz w:val="24"/>
                <w:szCs w:val="24"/>
                <w:shd w:fill="auto" w:val="clear"/>
                <w:lang w:val="ru-RU" w:bidi="en-US"/>
              </w:rPr>
              <w:t>Распоряжением Департамента от 17.02.2025 года № 17 утвержден План мероприятий по противодействию коррупции в Департаменте на 20</w:t>
            </w:r>
            <w:r>
              <w:rPr>
                <w:rFonts w:cs="PT Astra Serif" w:ascii="PT Astra Serif" w:hAnsi="PT Astra Serif"/>
                <w:b w:val="false"/>
                <w:i w:val="false"/>
                <w:color w:val="000000"/>
                <w:sz w:val="24"/>
                <w:szCs w:val="24"/>
                <w:shd w:fill="auto" w:val="clear"/>
                <w:lang w:val="en-US" w:bidi="en-US"/>
              </w:rPr>
              <w:t>2</w:t>
            </w:r>
            <w:r>
              <w:rPr>
                <w:rFonts w:cs="PT Astra Serif" w:ascii="PT Astra Serif" w:hAnsi="PT Astra Serif"/>
                <w:b w:val="false"/>
                <w:i w:val="false"/>
                <w:color w:val="000000"/>
                <w:sz w:val="24"/>
                <w:szCs w:val="24"/>
                <w:shd w:fill="auto" w:val="clear"/>
                <w:lang w:val="ru-RU" w:bidi="en-US"/>
              </w:rPr>
              <w:t>5 - 2028 годы (далее - План). План размещен на сайте Департамента в разделе «Противодействие кор</w:t>
            </w:r>
            <w:r>
              <w:rPr>
                <w:rFonts w:cs="PT Astra Serif" w:ascii="PT Astra Serif" w:hAnsi="PT Astra Serif"/>
                <w:b w:val="false"/>
                <w:bCs w:val="false"/>
                <w:i w:val="false"/>
                <w:color w:val="000000"/>
                <w:sz w:val="24"/>
                <w:szCs w:val="24"/>
                <w:shd w:fill="auto" w:val="clear"/>
                <w:lang w:val="ru-RU" w:bidi="en-US"/>
              </w:rPr>
              <w:t>рупции» https://zags.tomsk.gov.ru/antiCorruption/front/document.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Анализ сведений о доходах, расходах, об имуществе и обязательствах имущественного характера, представляемых служащими Томской области; лицами, замещающими государственные должности Томской области и муниципальные должности в Томской области, за отчетный период и два предшествующих ему года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4"/>
                <w:szCs w:val="24"/>
              </w:rPr>
              <w:t xml:space="preserve">Государственные гражданские служащие Томской области, </w:t>
            </w:r>
            <w:r>
              <w:rPr>
                <w:rFonts w:cs="PT Astra Serif" w:ascii="PT Astra Serif" w:hAnsi="PT Astra Serif"/>
                <w:color w:val="000000"/>
                <w:sz w:val="24"/>
                <w:szCs w:val="24"/>
              </w:rPr>
              <w:t>должности которых предусмотрены перечнем должностей (далее - служащий), утвержденным приказом Департамента от 23.03.2018 № 9,</w:t>
            </w:r>
            <w:r>
              <w:rPr>
                <w:rFonts w:cs="PT Astra Serif" w:ascii="PT Astra Serif" w:hAnsi="PT Astra Serif"/>
                <w:color w:themeColor="text1" w:val="000000"/>
                <w:sz w:val="24"/>
                <w:szCs w:val="24"/>
              </w:rPr>
              <w:t xml:space="preserve"> проходящие службу в Департаменте, представили сведения о доходах, </w:t>
            </w:r>
            <w:r>
              <w:rPr>
                <w:rFonts w:cs="PT Astra Serif" w:ascii="PT Astra Serif" w:hAnsi="PT Astra Serif"/>
                <w:color w:val="000000"/>
                <w:sz w:val="24"/>
                <w:szCs w:val="24"/>
              </w:rPr>
              <w:t>расходах, об имуществе и обязательствах имущественного характера (далее - сведения о доходах)</w:t>
            </w:r>
            <w:r>
              <w:rPr>
                <w:rFonts w:cs="PT Astra Serif" w:ascii="PT Astra Serif" w:hAnsi="PT Astra Serif"/>
                <w:color w:themeColor="text1" w:val="000000"/>
                <w:sz w:val="24"/>
                <w:szCs w:val="24"/>
              </w:rPr>
              <w:t xml:space="preserve"> на себя, супругу (супруга) и несовершеннолетних </w:t>
            </w:r>
            <w:r>
              <w:rPr>
                <w:rFonts w:cs="PT Astra Serif" w:ascii="PT Astra Serif" w:hAnsi="PT Astra Serif"/>
                <w:color w:val="000000"/>
                <w:sz w:val="24"/>
                <w:szCs w:val="24"/>
              </w:rPr>
              <w:t>детей за 2</w:t>
            </w:r>
            <w:r>
              <w:rPr>
                <w:rFonts w:cs="PT Astra Serif" w:ascii="PT Astra Serif" w:hAnsi="PT Astra Serif"/>
                <w:color w:val="000000"/>
                <w:sz w:val="24"/>
                <w:szCs w:val="24"/>
                <w:shd w:fill="auto" w:val="clear"/>
              </w:rPr>
              <w:t>024 год (226 справок).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/>
                <w:sz w:val="24"/>
                <w:szCs w:val="24"/>
                <w:shd w:fill="auto" w:val="clear"/>
              </w:rPr>
              <w:t>На 31.12.2024 в Департаменте осуществля</w:t>
            </w:r>
            <w:r>
              <w:rPr>
                <w:rFonts w:cs="PT Astra Serif" w:ascii="PT Astra Serif" w:hAnsi="PT Astra Serif"/>
                <w:color w:val="000000"/>
                <w:sz w:val="24"/>
                <w:szCs w:val="24"/>
                <w:shd w:fill="auto" w:val="clear"/>
                <w:lang w:val="ru-RU"/>
              </w:rPr>
              <w:t>ли</w:t>
            </w:r>
            <w:r>
              <w:rPr>
                <w:rFonts w:cs="PT Astra Serif" w:ascii="PT Astra Serif" w:hAnsi="PT Astra Serif"/>
                <w:color w:val="000000"/>
                <w:sz w:val="24"/>
                <w:szCs w:val="24"/>
                <w:shd w:fill="auto" w:val="clear"/>
              </w:rPr>
              <w:t xml:space="preserve"> служебную деятельность 90  служащих, входящих в указанный перечень должностей. Из них фактически сведения о доходах подали 84 человека. До 30.04.2025 уволилось 6 служащих, которые н</w:t>
            </w:r>
            <w:r>
              <w:rPr>
                <w:rFonts w:cs="PT Astra Serif" w:ascii="PT Astra Serif" w:hAnsi="PT Astra Serif"/>
                <w:color w:val="000000"/>
                <w:sz w:val="24"/>
                <w:szCs w:val="24"/>
              </w:rPr>
              <w:t>е подали сведения о доходах.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bCs/>
                <w:color w:themeColor="text1" w:val="000000"/>
                <w:sz w:val="24"/>
                <w:szCs w:val="24"/>
                <w:lang w:eastAsia="ru-RU"/>
              </w:rPr>
              <w:t>При анализе справок о доходах за 2024 год выявлены следующие несоответствия: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bCs/>
                <w:color w:themeColor="text1" w:val="000000"/>
                <w:sz w:val="24"/>
                <w:szCs w:val="24"/>
                <w:lang w:eastAsia="ru-RU"/>
              </w:rPr>
              <w:t xml:space="preserve">- в справках о доходах за 2024 год служащей Департамента, в Разделе 4. «Сведения о счетах в банках и иных кредитных организациях» у несовершеннолетнего ребенка указаны два счета ПАО Сбербанк, вид счета - текущий. Ранее данные счета указывались, как - депозитный. </w:t>
            </w: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 xml:space="preserve">В пояснительной записке служащая указала, что по невнимательности допущены ошибки по данным счетам. </w:t>
            </w:r>
            <w:r>
              <w:rPr>
                <w:rFonts w:eastAsia="Times New Roman" w:cs="Times New Roman" w:ascii="PT Astra Serif" w:hAnsi="PT Astra Serif"/>
                <w:bCs/>
                <w:color w:val="000000"/>
                <w:sz w:val="24"/>
                <w:szCs w:val="24"/>
                <w:lang w:eastAsia="ru-RU"/>
              </w:rPr>
              <w:t>По результатам проведенного анализа документов можно сделать вывод об отсутствии оснований для инициирования проведения проверки достоверности и полноты сведений в отношении служащей.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/>
            </w:pPr>
            <w:r>
              <w:rPr>
                <w:rFonts w:eastAsia="Times New Roman" w:cs="Times New Roman" w:ascii="PT Astra Serif" w:hAnsi="PT Astra Serif"/>
                <w:bCs/>
                <w:color w:val="000000"/>
                <w:sz w:val="24"/>
                <w:szCs w:val="24"/>
                <w:lang w:eastAsia="ru-RU"/>
              </w:rPr>
              <w:t xml:space="preserve">- в справках о доходах за 2024 год служащей в Разделе 4. «Сведения о счетах в банках и иных кредитных организациях» у несовершеннолетнего ребенка указан счет ПАО Сбербанк, открытый 08.06.2023. Данный счет в 2023 году не отражался в Справках о доходах. Служащая предоставила документы об открытии данного счета ее супругом на несовершеннолетнего ребенка. Сумма поступивших на счет денежных средств за отчетный период 2023 года составляет 4 004,00 руб. Об открытии счета на ребенка ей стало известно только в 2025 году. </w:t>
            </w:r>
            <w:r>
              <w:rPr>
                <w:rStyle w:val="FontStyle29"/>
                <w:rFonts w:ascii="PT Astra Serif" w:hAnsi="PT Astra Serif"/>
                <w:b w:val="false"/>
                <w:color w:val="000000"/>
                <w:sz w:val="24"/>
                <w:szCs w:val="24"/>
              </w:rPr>
              <w:t>К</w:t>
            </w:r>
            <w:r>
              <w:rPr>
                <w:rFonts w:cs="PT Astra Serif" w:ascii="PT Astra Serif" w:hAnsi="PT Astra Serif"/>
                <w:color w:val="000000"/>
                <w:sz w:val="24"/>
                <w:szCs w:val="24"/>
              </w:rPr>
              <w:t>акого-либо умысла о сокрытии счета несовершеннолетнего ребенка у нее не имелось.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/>
            </w:pPr>
            <w:r>
              <w:rPr>
                <w:rFonts w:eastAsia="Times New Roman" w:cs="Times New Roman" w:ascii="PT Astra Serif" w:hAnsi="PT Astra Serif"/>
                <w:bCs/>
                <w:color w:val="000000"/>
                <w:sz w:val="24"/>
                <w:szCs w:val="24"/>
                <w:lang w:eastAsia="ru-RU"/>
              </w:rPr>
              <w:t xml:space="preserve">По результатам проведенного анализа в отношении служащей </w:t>
            </w:r>
            <w:r>
              <w:rPr>
                <w:rStyle w:val="FontStyle29"/>
                <w:rFonts w:ascii="PT Astra Serif" w:hAnsi="PT Astra Serif"/>
                <w:b w:val="false"/>
                <w:bCs w:val="false"/>
                <w:sz w:val="24"/>
                <w:szCs w:val="24"/>
              </w:rPr>
              <w:t xml:space="preserve">руководствуясь обзором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 </w:t>
            </w:r>
            <w:r>
              <w:rPr>
                <w:rStyle w:val="FontStyle29"/>
                <w:rFonts w:ascii="PT Astra Serif" w:hAnsi="PT Astra Serif"/>
                <w:b w:val="false"/>
                <w:sz w:val="24"/>
                <w:szCs w:val="24"/>
              </w:rPr>
              <w:t xml:space="preserve">Министерством труда и социальной защиты РФ </w:t>
            </w:r>
            <w:r>
              <w:rPr>
                <w:rFonts w:eastAsia="Times New Roman" w:cs="Times New Roman" w:ascii="PT Astra Serif" w:hAnsi="PT Astra Serif"/>
                <w:bCs/>
                <w:color w:val="000000"/>
                <w:sz w:val="24"/>
                <w:szCs w:val="24"/>
                <w:lang w:eastAsia="ru-RU"/>
              </w:rPr>
              <w:t>можно сделать вывод об отсутствии оснований для инициирования проведения проверки достоверности и полноты сведений, поскольку счет подтверждается справками из банка.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 xml:space="preserve">Служащим </w:t>
            </w:r>
            <w:r>
              <w:rPr>
                <w:rFonts w:eastAsia="Times New Roman" w:cs="Times New Roman" w:ascii="PT Astra Serif" w:hAnsi="PT Astra Serif"/>
                <w:bCs/>
                <w:color w:themeColor="text1" w:val="000000"/>
                <w:sz w:val="24"/>
                <w:szCs w:val="24"/>
                <w:lang w:eastAsia="ru-RU"/>
              </w:rPr>
              <w:t>строго указано на соблюдение антикоррупционного законодательства и не допущения нарушений.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bCs/>
                <w:sz w:val="24"/>
                <w:szCs w:val="24"/>
                <w:lang w:eastAsia="ru-RU"/>
              </w:rPr>
              <w:t>В справках о доходах остальных 82 служащих не выявлено несоответствия в представленных справках о доходах за 2024.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Проведение с соблюдением требований законодательства о государственной гражданской и муниципальной службе, о противодействии коррупции проверок достоверности и полноты сведений о доходах, расходах, об имуществе и обязательствах имущественного характера, представляемых служащими Томской области; лицами, замещающими государственные должности Томской области и муниципальные должности в Томской области; гражданами, претендующими на замещение указанных должностей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ar-SA"/>
              </w:rPr>
              <w:t>Основания для проведения проверки достоверности и полноты сведений о доходах, расходах, об имуществе и обязательствах имущественного характера, представляемых служащими; лицами, замещающими государственные должности; гражданами, претендующими на замещение указанных должностей, отсутствовали.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Проведение проверок соблюдения служащими Томской области, а также лицами, замещающими государственные должности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Томской области и муниципальные должности в Томской области,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hanging="0" w:left="0" w:right="0"/>
              <w:jc w:val="both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bCs/>
                <w:sz w:val="24"/>
                <w:szCs w:val="24"/>
                <w:lang w:eastAsia="ar-SA"/>
              </w:rPr>
              <w:t>Основания для проведения проверки в отношении гражданских служащих в случае не соблюдения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 не было.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Проведение в порядке, определенном представителем нанимателя (работодателем), проверок сведений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 фактах обращения в целях склонения служащего Томской области, а также лиц, замещающих государственные должности Томской области и муниципальные должности в Томской области, к совершению коррупционных правонарушений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bCs/>
                <w:sz w:val="24"/>
                <w:szCs w:val="24"/>
                <w:lang w:eastAsia="ar-SA"/>
              </w:rPr>
              <w:t>В соответствии с приказом Департамента от 29.12.2012 № 134 «Об утверждении Порядка уведомления начальника Департамента ЗАГС Томской области о фактах обращения в целях склонения государственного гражданского служащего Томской области, проходящего службу в Департаменте ЗАГС Томской области к совершению коррупционных правонарушений и организации проверки этих сведений» оснований для проведения соответствующих проверок не возникало.</w:t>
            </w:r>
          </w:p>
        </w:tc>
      </w:tr>
      <w:tr>
        <w:trPr>
          <w:trHeight w:val="38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>Осуществление контроля за соответствием расходов лиц, замещающих государственные должности Томской области, муниципальные должности в Томской области, должности государственной гражданской службы Томской области, муниципальной службы</w:t>
            </w:r>
          </w:p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>в Томской области, и иных лиц их доходам в соответствии с требованиями Федерального закона</w:t>
            </w:r>
          </w:p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>от 3 декабря 2012 года № 230-ФЗ                 «О контроле за соответствием расходов лиц, замещающих государственные должности, и иных лиц их доходам» и постановления Губернатора Томской области от 08.08.2013 № 88 «О принятии решений об осуществлении контроля за расходами лиц, замещающих государственные должности Томской области, иных должностных лиц,</w:t>
            </w:r>
          </w:p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>а также за расходами их супруг (супругов) и несовершеннолетних детей»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bCs/>
                <w:color w:val="000000"/>
                <w:sz w:val="24"/>
                <w:szCs w:val="24"/>
                <w:shd w:fill="FFFFFF" w:val="clear"/>
                <w:lang w:eastAsia="ar-SA"/>
              </w:rPr>
              <w:t>В соответствии с постановлением Администрации Томской области от 13.01.2010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претендующими на замещение должностей государственной гражданской службы Томской области в исполнительных органах Томской области, и соблюдения государственными гражданскими служащими Томской области, занимающими должности в исполнительных органах Томской области, требований к служебному поведению», постановлением Губернатора Томской области от 08.08.2013 № 88 «О принятии решений об осуществлении контроля за расходами лиц, замещающих государственные должности Томской области, иных должностных лиц, а также за ра</w:t>
            </w:r>
            <w:r>
              <w:rPr>
                <w:rFonts w:eastAsia="Times New Roman" w:cs="Times New Roman" w:ascii="PT Astra Serif" w:hAnsi="PT Astra Serif"/>
                <w:bCs/>
                <w:color w:val="000000"/>
                <w:sz w:val="24"/>
                <w:szCs w:val="24"/>
                <w:lang w:eastAsia="ar-SA"/>
              </w:rPr>
              <w:t>сходами их супруг (супругов) и несовершеннолетних детей» проведен анализ сведений о расходах, представленных</w:t>
            </w:r>
            <w:r>
              <w:rPr>
                <w:rFonts w:eastAsia="Times New Roman" w:cs="Times New Roman" w:ascii="PT Astra Serif" w:hAnsi="PT Astra Serif"/>
                <w:bCs/>
                <w:color w:val="000000"/>
                <w:sz w:val="24"/>
                <w:szCs w:val="24"/>
                <w:shd w:fill="auto" w:val="clear"/>
                <w:lang w:eastAsia="ar-SA"/>
              </w:rPr>
              <w:t xml:space="preserve"> 3 государственными служащими.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 трех служащих заполнен раздел «Сведения о расходах». Они предоставили документы, подтверждающие законность приобретения имущества. Таким образом, оснований для принятия решения об осуществлении контроля за расходами в отношении них не возникло.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Анализ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 в Томской области, должности муниципальной службы в Томской области, об их родственниках и свойственниках в целях выявления возможного конфликта интересов, в том числе с учетом внесенных в анкеты изменений.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Рассмотрение доклада о результатах исполнения настоящего пункта на заседаниях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both"/>
              <w:rPr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28 (из 94) гражданских служащих Департамента актуализировали сведения (о родственниках и свойственниках), содержащихся в анкетах, представляемых при назначении на государственные должности, должности государственной гражданской службы Томской области в целях выявления возможного конфликта интересов по состоянию на первое полугодие 2025 года.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ar-SA"/>
              </w:rPr>
              <w:t>18 (из 94) гражданских служащих Департамента актуализировали сведения (о родственниках и свойственниках), содержащихся в анкетах, представляемых при назначении на государственные должности, должности государственной гражданской службы Томской области в целях выявления возможного конфликта интересов по состоянию на второе полугодие 2025 года.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ar-SA"/>
              </w:rPr>
              <w:t>У 48 государственных гражданских служащих Департамента отсутствуют изменения сведения (о родственниках и свойственниках), содержащихся в анкетах, представляемых при назначении на государственные должности, должности государственной гражданской службы Томской области в целях выявления возможного конфликта интересов по состоянию на конец 2025 года.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both"/>
              <w:rPr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lang w:eastAsia="ar-SA"/>
              </w:rPr>
              <w:t>В ходе анализа сведений, содержащихся в анкетах лиц, представляемых при назначении на должности гражданскими служащими Департамента, об их родственниках и свойственниках возможного конфликта интересов не выявлено.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Проведение оценки коррупционных рисков, возникающих при реализации служащими Томской области своих должностных обязанностей, и внесение уточнений в перечни должностей государственной гражданской службы Томской области, муниципальной службы в Томской области, замещение которых связано с коррупционными рисками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/>
            </w:pPr>
            <w:r>
              <w:rPr>
                <w:rFonts w:cs="PT Astra Serif" w:ascii="PT Astra Serif" w:hAnsi="PT Astra Serif"/>
                <w:color w:val="000000"/>
                <w:sz w:val="24"/>
                <w:szCs w:val="24"/>
              </w:rPr>
              <w:t>В Департаменте ЗАГС Томской области систематически проводится оценка коррупционных рисков, возникающих при реализации гражданскими служащими своих должностных обязанностей, посредством согласования с комитетом правового и кадровой обеспечения проектов должностных регламентов.</w:t>
            </w:r>
          </w:p>
          <w:p>
            <w:pPr>
              <w:pStyle w:val="21"/>
              <w:widowControl w:val="fals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/>
            </w:pPr>
            <w:r>
              <w:rPr>
                <w:rFonts w:cs="PT Astra Serif" w:ascii="PT Astra Serif" w:hAnsi="PT Astra Serif"/>
                <w:color w:val="000000"/>
                <w:sz w:val="24"/>
                <w:szCs w:val="24"/>
              </w:rPr>
              <w:t>Приказом Департамента ЗАГС Томской области от 09.09.2024 № 5 «</w:t>
            </w:r>
            <w:r>
              <w:rPr>
                <w:rFonts w:cs="PT Astra Serif" w:ascii="PT Astra Serif" w:hAnsi="PT Astra Serif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О</w:t>
            </w:r>
            <w:r>
              <w:rPr>
                <w:rFonts w:ascii="PT Astra Serif" w:hAnsi="PT Astra Serif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б утверждении Перечня должностей государственной гражданской службы Томской области в Департаменте ЗАГС Томской области, при замещении которых государственные гражданские служащие Томской области обязаны предоставлять сведения о своих доходах, расходах, об имуществе и обязательствах имущественного характера, а также сведения о  доходах, расходах, об имуществе и обязательствах имущественного характера своих супруги (супруга) и несовершеннолетних детей, и Порядка представления указанных сведений</w:t>
            </w:r>
            <w:r>
              <w:rPr>
                <w:rFonts w:cs="PT Astra Serif" w:ascii="PT Astra Serif" w:hAnsi="PT Astra Serif"/>
                <w:color w:val="000000"/>
                <w:sz w:val="24"/>
                <w:szCs w:val="24"/>
              </w:rPr>
              <w:t>» актуализирован перечень должностей гражданской службы Томской области в штате Департамента ЗАГС Томской области, замещение которых связано с коррупционными рисками.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shd w:fill="auto" w:val="clear"/>
                <w:lang w:eastAsia="ru-RU"/>
              </w:rPr>
              <w:t>Информирование Департамента по профилактике коррупционных и иных правонарушений Администрации Томской области: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105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1) о вновь назначенных лицах, ответственных за профилактику коррупционных и иных правонарушений</w:t>
            </w:r>
          </w:p>
          <w:p>
            <w:pPr>
              <w:pStyle w:val="Normal"/>
              <w:spacing w:lineRule="auto" w:line="240" w:before="0" w:after="105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2) о решении об осуществлении контроля за расходами</w:t>
            </w:r>
          </w:p>
          <w:p>
            <w:pPr>
              <w:pStyle w:val="Normal"/>
              <w:spacing w:lineRule="auto" w:line="240" w:before="0" w:after="105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3) о результатах осуществления контроля за расходами</w:t>
            </w:r>
          </w:p>
          <w:p>
            <w:pPr>
              <w:pStyle w:val="Normal"/>
              <w:spacing w:lineRule="auto" w:line="240" w:before="0" w:after="105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4) о назначении проверок достоверности и полноты сведений, представляемых служащими Томской области, занимающими должности в государственных органах Томской области и в исполнительных органах Томской области, гражданами, претендующими на замещение должностей государственной гражданской службы Томской области в государственных органах Томской области и в исполнительных органах Томской области, и соблюдения служащими Томской области, занимающими должности в государственных органах Томской области и в исполнительных органах Томской области, требований к служебному поведению</w:t>
            </w:r>
          </w:p>
          <w:p>
            <w:pPr>
              <w:pStyle w:val="Normal"/>
              <w:spacing w:lineRule="auto" w:line="240" w:before="0" w:after="105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5) извещение о дате, времени, месте проведения заседаний комиссий по соблюдению требований к служебному поведению служащих Томской области и урегулированию конфликта интересов и вопросах, включенных в повестку дня заседания комиссии, а также направление материалов, необходимых для рассмотрения на заседании комиссии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 w:eastAsia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 xml:space="preserve">В 2025 году новых назначенных лиц, ответственных за профилактику коррупционных и иных правонарушений в Департаменте, не было. </w:t>
            </w:r>
            <w:r>
              <w:rPr>
                <w:rFonts w:eastAsia="Times New Roman" w:cs="Times New Roman" w:ascii="PT Astra Serif" w:hAnsi="PT Astra Serif"/>
                <w:sz w:val="24"/>
                <w:szCs w:val="24"/>
                <w:lang w:val="ru-RU" w:eastAsia="ru-RU"/>
              </w:rPr>
              <w:t>В 2025 году решении об осуществлении контроля за расходами,</w:t>
            </w: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 xml:space="preserve"> о результатах осуществления контроля за расходами,</w:t>
            </w:r>
            <w:r>
              <w:rPr>
                <w:rFonts w:eastAsia="Times New Roman" w:cs="Times New Roman" w:ascii="PT Astra Serif" w:hAnsi="PT Astra Serif"/>
                <w:sz w:val="24"/>
                <w:szCs w:val="24"/>
                <w:lang w:val="ru-RU" w:eastAsia="ru-RU"/>
              </w:rPr>
              <w:t xml:space="preserve"> о назначении проверок достоверности и полноты сведений не было. Департамент в установленные сроки информирует о дате, времени, месте проведения заседаний комиссий.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Организация и проведение заседаний комиссии по соблюдению требований к служебному поведению служащих Томской области и урегулированию конфликта интересов в соответствии с утвержденным планом заседаний, подготовка материалов к заседаниям.</w:t>
            </w:r>
          </w:p>
          <w:p>
            <w:pPr>
              <w:pStyle w:val="Normal"/>
              <w:spacing w:lineRule="auto" w:line="240" w:before="0" w:after="105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Рассмотрение на заседании комиссии по соблюдению требований к служебному поведению служащих Томской области и урегулированию конфликта интересов вопроса о реализации антикоррупционного плана, в том числе вопросов о состоянии работы по противодействию коррупции в подведомственных организациях (при наличии).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Утверждение на заседании комиссии по соблюдению требований к служебному поведению служащих Томской области и урегулированию конфликта интересов плана заседаний комиссии на следующий год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PT Astra Serif" w:ascii="PT Astra Serif" w:hAnsi="PT Astra Serif"/>
                <w:bCs/>
                <w:color w:themeColor="text1" w:val="000000"/>
                <w:sz w:val="24"/>
                <w:szCs w:val="24"/>
                <w:shd w:fill="FFFFFF" w:val="clear"/>
                <w:lang w:val="ru-RU" w:eastAsia="ar-SA"/>
              </w:rPr>
              <w:t xml:space="preserve">Заседания комиссии </w:t>
            </w:r>
            <w:r>
              <w:rPr>
                <w:rFonts w:eastAsia="Times New Roman" w:cs="PT Astra Serif" w:ascii="PT Astra Serif" w:hAnsi="PT Astra Serif"/>
                <w:bCs/>
                <w:color w:val="000000"/>
                <w:sz w:val="24"/>
                <w:szCs w:val="24"/>
                <w:shd w:fill="FFFFFF" w:val="clear"/>
                <w:lang w:val="ru-RU" w:eastAsia="ar-SA"/>
              </w:rPr>
              <w:t xml:space="preserve">по соблюдению требований к служебному поведению государственных гражданских служащих и урегулированию конфликта интересов </w:t>
            </w:r>
            <w:r>
              <w:rPr>
                <w:rFonts w:eastAsia="Times New Roman" w:cs="PT Astra Serif" w:ascii="PT Astra Serif" w:hAnsi="PT Astra Serif"/>
                <w:bCs/>
                <w:color w:themeColor="text1" w:val="000000"/>
                <w:sz w:val="24"/>
                <w:szCs w:val="24"/>
                <w:shd w:fill="FFFFFF" w:val="clear"/>
                <w:lang w:val="ru-RU" w:eastAsia="ar-SA"/>
              </w:rPr>
              <w:t xml:space="preserve">организованы и проведены 18 марта, 05 июня, 25 сентября, 20 ноября 2025 года.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Мероприятия по реализации </w:t>
            </w:r>
            <w:r>
              <w:rPr>
                <w:rFonts w:ascii="PT Astra Serif" w:hAnsi="PT Astra Serif"/>
                <w:sz w:val="24"/>
                <w:szCs w:val="24"/>
                <w:shd w:fill="auto" w:val="clear"/>
              </w:rPr>
              <w:t>Плана мероприятий по противодействию коррупции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выполнены в сроки. </w:t>
            </w:r>
            <w:r>
              <w:rPr>
                <w:rFonts w:eastAsia="Times New Roman" w:cs="PT Astra Serif" w:ascii="PT Astra Serif" w:hAnsi="PT Astra Serif"/>
                <w:bCs/>
                <w:color w:themeColor="text1" w:val="000000"/>
                <w:sz w:val="24"/>
                <w:szCs w:val="24"/>
                <w:shd w:fill="FFFFFF" w:val="clear"/>
                <w:lang w:val="ru-RU" w:eastAsia="ar-SA"/>
              </w:rPr>
              <w:t>20.11.2025 на заседании комиссии утвержден план заседаний комиссий на 2026 год.</w:t>
            </w:r>
          </w:p>
          <w:p>
            <w:pPr>
              <w:pStyle w:val="Normal"/>
              <w:widowControl/>
              <w:spacing w:lineRule="auto" w:line="240" w:before="0" w:after="0"/>
              <w:ind w:hanging="0" w:left="0" w:right="0"/>
              <w:jc w:val="left"/>
              <w:rPr/>
            </w:pPr>
            <w:r>
              <w:rPr>
                <w:rFonts w:cs="PT Astra Serif" w:ascii="PT Astra Serif" w:hAnsi="PT Astra Serif"/>
                <w:bCs/>
                <w:color w:themeColor="text1" w:val="000000"/>
                <w:sz w:val="24"/>
                <w:szCs w:val="24"/>
                <w:shd w:fill="FFFFFF" w:val="clear"/>
                <w:lang w:val="ru-RU" w:eastAsia="ar-SA"/>
              </w:rPr>
              <w:t xml:space="preserve">Информация о составе, положение, план работы, материалы заседаний комиссии </w:t>
            </w:r>
            <w:r>
              <w:rPr>
                <w:rFonts w:cs="PT Astra Serif" w:ascii="PT Astra Serif" w:hAnsi="PT Astra Serif"/>
                <w:bCs/>
                <w:color w:val="000000"/>
                <w:sz w:val="24"/>
                <w:szCs w:val="24"/>
                <w:shd w:fill="FFFFFF" w:val="clear"/>
                <w:lang w:val="ru-RU" w:eastAsia="ar-SA"/>
              </w:rPr>
              <w:t>по соблюдению требований к служебному поведению государственных гражданских служащих и урегулированию конфликта интересов</w:t>
            </w:r>
            <w:r>
              <w:rPr>
                <w:rFonts w:cs="PT Astra Serif" w:ascii="PT Astra Serif" w:hAnsi="PT Astra Serif"/>
                <w:bCs/>
                <w:color w:themeColor="text1" w:val="000000"/>
                <w:sz w:val="24"/>
                <w:szCs w:val="24"/>
                <w:shd w:fill="FFFFFF" w:val="clear"/>
                <w:lang w:val="ru-RU" w:eastAsia="ar-SA"/>
              </w:rPr>
              <w:t xml:space="preserve"> размещены на официальном сайте Департамента: </w:t>
            </w:r>
            <w:r>
              <w:rPr>
                <w:rStyle w:val="Hyperlink"/>
                <w:rFonts w:cs="PT Astra Serif" w:ascii="PT Astra Serif" w:hAnsi="PT Astra Serif"/>
                <w:bCs/>
                <w:color w:val="000000"/>
                <w:sz w:val="24"/>
                <w:szCs w:val="24"/>
                <w:u w:val="none"/>
                <w:shd w:fill="FFFFFF" w:val="clear"/>
                <w:lang w:val="ru-RU" w:eastAsia="ar-SA"/>
              </w:rPr>
              <w:t>https://zags.tomsk.gov.ru/anti Corruption</w:t>
            </w:r>
            <w:r>
              <w:rPr>
                <w:rFonts w:cs="PT Astra Serif" w:ascii="PT Astra Serif" w:hAnsi="PT Astra Serif"/>
                <w:bCs/>
                <w:color w:val="000000"/>
                <w:sz w:val="24"/>
                <w:szCs w:val="24"/>
                <w:u w:val="none"/>
                <w:shd w:fill="FFFFFF" w:val="clear"/>
                <w:lang w:val="ru-RU" w:eastAsia="ar-SA"/>
              </w:rPr>
              <w:t>/front/commission. Данные сведения постоян</w:t>
            </w:r>
            <w:r>
              <w:rPr>
                <w:rFonts w:cs="PT Astra Serif" w:ascii="PT Astra Serif" w:hAnsi="PT Astra Serif"/>
                <w:bCs/>
                <w:color w:themeColor="text1" w:val="000000"/>
                <w:sz w:val="24"/>
                <w:szCs w:val="24"/>
                <w:shd w:fill="FFFFFF" w:val="clear"/>
                <w:lang w:val="ru-RU" w:eastAsia="ar-SA"/>
              </w:rPr>
              <w:t>но обновляются и актуализируются.</w:t>
            </w:r>
          </w:p>
        </w:tc>
      </w:tr>
      <w:tr>
        <w:trPr>
          <w:trHeight w:val="9645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Проведение анализа эффективности деятельности комиссий по соблюдению требований к служебному поведению служащих Томской области и урегулированию конфликта интересов, а также работы подразделений кадровых служб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(лиц, ответственных за профилактику коррупционных и иных правонарушений) в государственных органах Томской области и органах власти Томской области по профилактике коррупционных и иных правонарушений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rPr/>
            </w:pPr>
            <w:r>
              <w:rPr>
                <w:rFonts w:eastAsia="Times New Roman" w:cs="PT Astra Serif" w:ascii="PT Astra Serif" w:hAnsi="PT Astra Serif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ar-SA"/>
              </w:rPr>
              <w:t xml:space="preserve">В 2025 году состоялось 4 плановых заседания комиссии. В соответствии с планом работы рассмотрено 18 вопросов. Все предусмотренные мероприятия выполнены в полном объеме и в установленные сроки. Все заседания состоялись  с кворумом и являлись правомочными.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Предварительно, накануне заседаний, члены Комиссии знакомились с материалами и повесткой заседаний. </w:t>
            </w:r>
            <w:r>
              <w:rPr>
                <w:rFonts w:eastAsia="Times New Roman" w:cs="PT Astra Serif" w:ascii="PT Astra Serif" w:hAnsi="PT Astra Serif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ar-SA"/>
              </w:rPr>
              <w:t>Решения, принятые членами Комиссии офор</w:t>
            </w:r>
            <w:bookmarkStart w:id="0" w:name="_GoBack"/>
            <w:bookmarkEnd w:id="0"/>
            <w:r>
              <w:rPr>
                <w:rFonts w:eastAsia="Times New Roman" w:cs="PT Astra Serif" w:ascii="PT Astra Serif" w:hAnsi="PT Astra Serif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ar-SA"/>
              </w:rPr>
              <w:t>млены протоколами.</w:t>
            </w:r>
          </w:p>
          <w:p>
            <w:pPr>
              <w:pStyle w:val="Normal"/>
              <w:spacing w:lineRule="auto" w:line="240" w:before="0" w:after="0"/>
              <w:ind w:hanging="0" w:left="0"/>
              <w:jc w:val="left"/>
              <w:rPr/>
            </w:pPr>
            <w:r>
              <w:rPr>
                <w:rFonts w:ascii="PT Astra Serif" w:hAnsi="PT Astra Serif"/>
                <w:sz w:val="24"/>
                <w:szCs w:val="24"/>
              </w:rPr>
              <w:t xml:space="preserve">Лицом, ответственным за работу по профилактике коррупционных и иных правонарушений Департамента, в 2025 году проделана следующая работа. 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fill="auto" w:val="clear"/>
              </w:rPr>
              <w:t xml:space="preserve">Контроль за соблюдением государственными гражданскими служащими Департамента законодательства о государственной гражданской службе осуществлялся в постоянном режиме. В течение 2025 года служащими подано 4 уведомления о намерении выполнять иную оплачиваемую работу.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Фактов нарушения гражданскими служащими Департамента запретов и ограничений, установленных законодательством, в том числе нарушения части 2 статьи 14 Федерального закона от 27.07.2004 № 79-ФЗ «О государственной гражданской службе Российской Федерации» не установлено. В 2025 году постоянно проводилась работа по актуализации сведений, содержащихся в анкетах, представляемых при назначении на должности, о родственниках и свойственниках в целях выявления возможного конфликта интересов. В ходе анализа сведений, содержащихся в анкетах лиц, представляемых при назначении на должности гражданскими служащими Департамента, об их родственниках и свойственниках возможного конфликта интересов не выявлено. В обязательном порядке осуществляется ознакомление всех гражданских служащих, работников с вновь принятыми нормативными актами по антикоррупционной тематике. Вновь принятые гражданские служащие ознакомляются под подпись с документами, регулирующими обязанности гражданских служащих по соблюдению запретов и ограничений, связанных с исполнением законодательства о противодействии коррупции, в том числе проводится разъяснительная работа по вопросам противодействия коррупции. Осуществляется работа по обеспечению соблюдения гражданскими служащими Департамента требований к служебному поведению государственных гражданских служащих. В качестве меры по профилактике коррупционных правонарушений гражданским служащим по деловой почте 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Vipnet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Client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систематически рассылаются нормативные документы и методические материалы по вопросам противодействия коррупции. В 2025 году проведен анализ на предмет соблюдения запретов на занятие предпринимательской деятельностью и участие в органах управления коммерческими организациями. Так, проведена проверка по имеющимся ИНН в личных делах государственных гражданских Томской области, проходящих службу в Департаменте о наличии информации в Едином государственном реестре юридических лиц (ЕГРЮЛ), Едином государственном реестре индивидуальных предпринимателей (ЕГРИП), сведений об участии в юридическом лице в качестве руководителя (уполномоченного представителя) и (или) учредителя (участника), проверка статуса налогоплатнльщика налога на профессиональный доход (самозанятого) с использованием сервиса https://pb.nalog.ru/. Нарушений со стороны государственных гражданских служащих Департамента в 2025 году не выявлено. В постоянном режиме проводится работа по исключению коррупциогенных факторов в нормативных правовых актах Департамента. В 2025 году проведена антикоррупционная экспертиза 2 нормативных правовых актов Департамента. 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fill="auto" w:val="clear"/>
              </w:rPr>
              <w:t>В течение 2025 года фактов обращения в целях склонения гражданских служащих, проходящих службу в Департаменте, к совершению коррупционных правонарушений не установлено. Сообщений о коррупционных правонарушениях со стороны государственных служащих Департамента от граждан и организаций не поступало, в средствах массовой информации также информация о коррупционных проявлениях в сфере деятельности Департамента не выявлена.</w:t>
            </w:r>
          </w:p>
          <w:p>
            <w:pPr>
              <w:pStyle w:val="Normal"/>
              <w:spacing w:lineRule="auto" w:line="240" w:before="0" w:after="0"/>
              <w:ind w:hanging="0" w:left="0"/>
              <w:jc w:val="left"/>
              <w:rPr/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 целях предупреждения конфликта интересов при трудоустройстве и контроля соблюдения требований положений статьи 12 Федерального закона от 25.12.2008 № 273-ФЗ «О противодействии коррупции» в Департамент поступала информация о трудоустройстве граждан, ранее замещавших должности государственной гражданской службы Томской области. Всего поступило 11 уведомлений, на которые подготовлены соответствующие заключения. Нарушений не выявл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fill="auto" w:val="clear"/>
              </w:rPr>
              <w:t xml:space="preserve">ено. В 2025 году проведены анализы: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1)  </w:t>
            </w:r>
            <w:bookmarkStart w:id="1" w:name="_GoBack_Копия_1"/>
            <w:bookmarkEnd w:id="1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сведений о доходах, об имуществе и обязательствах имущественного характера </w:t>
            </w:r>
            <w:r>
              <w:rPr>
                <w:rFonts w:ascii="PT Astra Serif" w:hAnsi="PT Astra Serif"/>
                <w:color w:themeColor="text1" w:val="000000"/>
                <w:sz w:val="24"/>
                <w:szCs w:val="24"/>
              </w:rPr>
              <w:t xml:space="preserve">на себя, супругу (супруга) и несовершеннолетних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детей за 2024 год</w:t>
            </w:r>
            <w:r>
              <w:rPr>
                <w:rFonts w:ascii="PT Astra Serif" w:hAnsi="PT Astra Serif"/>
                <w:color w:themeColor="text1" w:val="000000"/>
                <w:sz w:val="24"/>
                <w:szCs w:val="24"/>
              </w:rPr>
              <w:t xml:space="preserve">. 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Сведения представлены в сроки, установленные Указом Президента Российской Федерации от 18.05.</w:t>
            </w:r>
            <w:r>
              <w:rPr>
                <w:rFonts w:eastAsia="Times New Roman" w:cs="Times New Roman" w:ascii="PT Astra Serif" w:hAnsi="PT Astra Serif"/>
                <w:color w:themeColor="text1" w:val="000000"/>
                <w:sz w:val="24"/>
                <w:szCs w:val="24"/>
                <w:lang w:eastAsia="ru-RU"/>
              </w:rPr>
              <w:t xml:space="preserve">2009 № 558 и по форме справки,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Президента Российской Федерации». </w:t>
            </w:r>
            <w:r>
              <w:rPr>
                <w:rFonts w:eastAsia="Times New Roman" w:cs="Times New Roman" w:ascii="PT Astra Serif" w:hAnsi="PT Astra Serif"/>
                <w:bCs/>
                <w:color w:val="000000"/>
                <w:sz w:val="24"/>
                <w:szCs w:val="24"/>
                <w:lang w:eastAsia="ru-RU"/>
              </w:rPr>
              <w:t>Все государственные гражданские служащие Томской области, проходящие службу в Департаменте, заполнили справки с использованием специального программного обеспечения «Справки БК», а также с соблюдением Методических рекомендаций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2025 году (за отчетный 2024 год)</w:t>
            </w:r>
            <w:r>
              <w:rPr>
                <w:rFonts w:eastAsia="Times New Roman" w:cs="Times New Roman" w:ascii="PT Astra Serif" w:hAnsi="PT Astra Serif"/>
                <w:bCs/>
                <w:color w:themeColor="text1"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2) сведений о расходах гражданских служащих за 2024 год. О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fill="auto" w:val="clear"/>
              </w:rPr>
              <w:t>снований для принятия решения об осуществлении контроля за расходами в отношении них не возникло.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1.17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Осуществление контроля за соблюдением лицами, замещающими государственные должности Томской области, муниципальные должности в Томской области, должности государственной гражданской службы Томской области, муниципальной службы в Томской области, требований к служебному поведению и (или) требований об урегулировании конфликта интересов, в том числе касающихся получения подарков отдельными категориями лиц, выполнения иной оплачиваемой работы, обязанности уведомлять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об обращениях в целях склонения к совершению коррупционных правонарушений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hd w:val="clear" w:color="auto" w:fill="FFFFFF"/>
              <w:suppressAutoHyphens w:val="true"/>
              <w:bidi w:val="0"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pacing w:val="-1"/>
                <w:sz w:val="24"/>
                <w:szCs w:val="24"/>
                <w:lang w:eastAsia="ar-SA"/>
              </w:rPr>
              <w:t>Департаментом проводятся мероприятия по формированию у сотрудников негативного отношения к получению и дарению подарков служащим в связи с их должностным положением или в связи с исполнением ими служебных обязанностей. Информация о запрете дарить и получать подарки размещена на сайте Департамента. Случаев несоблюдения служащими Департамента ограничений, запретов и неисполнения обязанностей, установленных в целях противодействия коррупции, нарушения ограничений, касающихся получения подарков, не выявлено.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1.18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Рассмотрение в соответствии с пунктом 2.1 статьи 6 Федерального закона от 25 декабря 2008 г. № 273-ФЗ «О противодействии коррупции»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и их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hd w:val="clear" w:color="auto" w:fill="FFFFFF"/>
              <w:tabs>
                <w:tab w:val="clear" w:pos="708"/>
                <w:tab w:val="left" w:pos="735" w:leader="none"/>
              </w:tabs>
              <w:spacing w:lineRule="auto" w:line="240" w:before="0" w:after="0"/>
              <w:ind w:hanging="0" w:left="0"/>
              <w:jc w:val="left"/>
              <w:outlineLvl w:val="0"/>
              <w:rPr/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shd w:fill="FFFFFF" w:val="clear"/>
                <w:lang w:bidi="hi-IN"/>
              </w:rPr>
              <w:t>В 2025 году решения судов, арбитражных судов о признании недействительными правовых актов, незаконными решений и действий (бездействий) Департамента ЗАГС Томской области и его должностных лиц отсутствуют.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Проведение антикоррупционной экспертизы нормативных правовых актов Томской области и их проектов с учетом мониторинга соответствующей правоприменительной практики в целях выявления коррупциогенных факторов и последующего устранения таких факторов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both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Антикоррупционная экспертиза нормативных правовых актов и их проектов в Департаменте проводилась в соответствии с Порядком проведения антикоррупционной экспертизы нормативных правовых актов и их проектов в Департаменте, утвержденным приказом Департамента от 29.08.2023 № 4.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 2025 году вышеназванная экспертиза проведена в отношении проектов приказов Департамента </w:t>
            </w:r>
            <w:r>
              <w:rPr>
                <w:rFonts w:eastAsia="Franklin Gothic Book" w:ascii="PT Astra Serif" w:hAnsi="PT Astra Serif"/>
                <w:color w:val="000000"/>
                <w:sz w:val="24"/>
                <w:szCs w:val="24"/>
                <w:lang w:eastAsia="en-US" w:bidi="ar-SA"/>
              </w:rPr>
              <w:t>«Об утверждении Административного регламента предоставления государственной услуги «Проставление апостиля на свидетельствах о государственной регистрации актов гражданского состояния и иных документах, подтверждающих наличие или отсутствие фактов государственной регистрации актов гражданского состояния, выданных органами ЗАГС Томской области и подлежащих вывозу за пределы территории Российской Федерации»</w:t>
            </w:r>
            <w:r>
              <w:rPr>
                <w:rFonts w:eastAsia="Franklin Gothic Book" w:ascii="PT Astra Serif" w:hAnsi="PT Astra Serif"/>
                <w:color w:val="000000"/>
                <w:sz w:val="24"/>
                <w:szCs w:val="24"/>
                <w:shd w:fill="auto" w:val="clear"/>
                <w:lang w:eastAsia="en-US" w:bidi="ar-SA"/>
              </w:rPr>
              <w:t>, «Об утверждении Служебного распорядка Департамента ЗАГС Томской области и Правил внутреннего трудового распорядка Департамента ЗАГС Томской области».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После проведения экспертизы приказы были приняты.</w:t>
            </w:r>
          </w:p>
        </w:tc>
      </w:tr>
      <w:tr>
        <w:trPr>
          <w:trHeight w:val="38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Размещение на официальном интернет-портале Администрации Томской области </w:t>
            </w: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(www.tomsk.gov.ru)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, официальных сайтах исполнительных органов Томской области в подразделе «Антикоррупционная экспертиза» раздела «Противодействие коррупции» отчетов о результатах независимой антикоррупционной экспертизы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С 1 января по 31 декабря 2025 года заключения на проекты нормативных правовых актов Департамента ЗАГС Томской области от независимых экспертов не поступали.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 Отчет размещен.</w:t>
            </w:r>
          </w:p>
        </w:tc>
      </w:tr>
      <w:tr>
        <w:trPr>
          <w:trHeight w:val="133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Обеспечение возможности проведения независимой антикоррупционной экспертизы нормативных правовых актов и их проектов в установленном порядке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Нормативные правовые акты Департамента размещены на официальном сайте Департамента, а также официально опубликованы, проекты Департамента размещены на официальном сайте Департамента. Возможность провести независимую антикоррупционную экспертизу обеспечена.</w:t>
            </w:r>
          </w:p>
        </w:tc>
      </w:tr>
      <w:tr>
        <w:trPr>
          <w:trHeight w:val="38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  <w:highlight w:val="none"/>
                <w:shd w:fill="auto" w:val="clear"/>
                <w14:ligatures w14:val="none"/>
              </w:rPr>
            </w:pPr>
            <w:r>
              <w:rPr>
                <w:rFonts w:ascii="PT Astra Serif" w:hAnsi="PT Astra Serif"/>
                <w:sz w:val="24"/>
                <w:szCs w:val="24"/>
                <w:shd w:fill="auto" w:val="clear"/>
                <w:lang w:val="ru-RU"/>
                <w14:ligatures w14:val="none"/>
              </w:rPr>
              <w:t>Проведение оценки эффективности деятельности по реализации антикоррупционных мер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shd w:fill="auto" w:val="clear"/>
                <w:lang w:eastAsia="ru-RU"/>
              </w:rPr>
              <w:t xml:space="preserve">Оценка </w:t>
            </w:r>
            <w:r>
              <w:rPr>
                <w:rFonts w:eastAsia="Times New Roman" w:cs="Times New Roman" w:ascii="PT Astra Serif" w:hAnsi="PT Astra Serif"/>
                <w:sz w:val="24"/>
                <w:szCs w:val="24"/>
                <w:shd w:fill="auto" w:val="clear"/>
                <w:lang w:val="ru-RU" w:eastAsia="ru-RU"/>
                <w14:ligatures w14:val="none"/>
              </w:rPr>
              <w:t>эффективности деятельности по реализации антикоррупционных мер</w:t>
            </w: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 xml:space="preserve"> Департаментом проведена.</w:t>
            </w:r>
          </w:p>
        </w:tc>
      </w:tr>
      <w:tr>
        <w:trPr>
          <w:trHeight w:val="38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  <w:highlight w:val="none"/>
                <w:shd w:fill="auto" w:val="clear"/>
                <w14:ligatures w14:val="none"/>
              </w:rPr>
            </w:pPr>
            <w:r>
              <w:rPr>
                <w:rFonts w:ascii="PT Astra Serif" w:hAnsi="PT Astra Serif"/>
                <w:sz w:val="24"/>
                <w:szCs w:val="24"/>
                <w:shd w:fill="auto" w:val="clear"/>
                <w:lang w:val="ru-RU"/>
                <w14:ligatures w14:val="none"/>
              </w:rPr>
              <w:t>Проведение анкетирования пациентов областных государственных учреждений здравоохранения Томской области по оценке качества оказания амбулаторно-поликлинической, стационарной медицинской помощи с включением вопросов о коррупционных правонарушениях в деятельности обозначенных организаций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i/>
                <w:iCs/>
                <w:sz w:val="24"/>
                <w:szCs w:val="24"/>
                <w:lang w:val="ru-RU"/>
              </w:rPr>
              <w:t>заполняется Департаментом здравоохранения Томской области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</w:r>
          </w:p>
        </w:tc>
      </w:tr>
      <w:tr>
        <w:trPr>
          <w:trHeight w:val="38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>Проведение анкетирования участников образовательных отношений (обучающихся, родителей, законных представителей несовершеннолетних обучающихся) в областных государственных образовательных организациях Томской области по оценке качества деятельности данных организаций с включением вопросов о коррупционных правонарушениях в деятельности обозначенных организаций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i/>
                <w:iCs/>
                <w:sz w:val="24"/>
                <w:szCs w:val="24"/>
                <w:lang w:val="ru-RU"/>
              </w:rPr>
              <w:t>заполняется Департаментом образования Томской области</w:t>
            </w:r>
          </w:p>
          <w:p>
            <w:pPr>
              <w:pStyle w:val="ConsPlusNormal"/>
              <w:jc w:val="center"/>
              <w:rPr>
                <w:rFonts w:ascii="PT Astra Serif" w:hAnsi="PT Astra Serif"/>
                <w:bCs/>
                <w:i/>
                <w:i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bCs/>
                <w:i/>
                <w:sz w:val="24"/>
                <w:szCs w:val="24"/>
                <w:lang w:val="ru-RU"/>
              </w:rPr>
            </w:r>
          </w:p>
        </w:tc>
      </w:tr>
      <w:tr>
        <w:trPr>
          <w:trHeight w:val="38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>Мониторинг обращений студентов (родителей студентов, иных законных представителей) и работников образовательных организаций высшего образования Томской области по вопросам коррупционных проявлений в высших учебных заведениях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i/>
                <w:iCs/>
                <w:sz w:val="24"/>
                <w:szCs w:val="24"/>
                <w:lang w:val="ru-RU"/>
              </w:rPr>
              <w:t>заполняется Департаментом по научно-технологическому развитию</w:t>
            </w:r>
          </w:p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i/>
                <w:iCs/>
                <w:sz w:val="24"/>
                <w:szCs w:val="24"/>
                <w:lang w:val="ru-RU"/>
              </w:rPr>
              <w:t>и инновационной деятельности Томской области</w:t>
            </w:r>
          </w:p>
        </w:tc>
      </w:tr>
      <w:tr>
        <w:trPr>
          <w:trHeight w:val="484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Обобщение практики рассмотрения обращений граждан и юридических лиц по вопросам противодействия коррупции, в том числе обращений, поступивших по телефону доверия, на горячую линию или с использованием интерактивных сервисов на официальном интернет-портале Администрации Томской области (www.tomsk.gov.ru), официальных сайтах государственных органов Томской области и органов власти Томской области, позволяющих пользователям сообщать о фактах коррупции. Проведение анализа организации и эффективности работы с обращениями, соблюдение сроков и результатов рассмотрения обращений о фактах проявления коррупции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hanging="0" w:left="0" w:right="0"/>
              <w:jc w:val="lef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/>
                <w:sz w:val="24"/>
                <w:szCs w:val="24"/>
              </w:rPr>
              <w:t xml:space="preserve">В адрес Департамента, 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по телефону доверия, на горячую линию или с использованием интерактивных сервисов на официальном интернет-портале Департамента </w:t>
            </w:r>
            <w:r>
              <w:rPr>
                <w:rFonts w:cs="PT Astra Serif" w:ascii="PT Astra Serif" w:hAnsi="PT Astra Serif"/>
                <w:color w:val="000000"/>
                <w:sz w:val="24"/>
                <w:szCs w:val="24"/>
              </w:rPr>
              <w:t>не поступали обращения от граждан и юридических лиц на предмет наличия сведений о фактах проявления коррупции.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Организация и проведение мероприятий по профессиональному развитию в области противодействия коррупции, в том числе обучения по дополнительным профессиональным программам в области противодействия коррупции: служащих Томской области, в должностные обязанности которых входит участие в противодействии коррупции; лиц, впервые поступивших на государственную (муниципальную) службу и замещающих должности, связанные с соблюдением требований к служебному поведению и (или) требований об урегулировании конфликта интересов; служащих Томской области, в должностные обязанности которых входит участие в проведении закупок товаров, работ, услуг для обеспечения государственных (муниципальных) нужд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В </w:t>
            </w: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</w:rPr>
              <w:t>2025 году 4 гражданский служащий, впервые поступивший на гражданскую службу и замещающий должность, связанную с соблюдением антикоррупционных стандартов, прошли обучение по дополнительной профессиональной программе в области противодействия коррупции;</w:t>
            </w:r>
          </w:p>
          <w:p>
            <w:pPr>
              <w:pStyle w:val="21"/>
              <w:widowControl w:val="false"/>
              <w:spacing w:lineRule="auto" w:line="240" w:before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</w:rPr>
              <w:t>2 гражданских служащих комитета правового и кадрового обеспечения Департамента, в должностные обязанности которого входит участие в противодействии коррупции, прошли обучение по дополнительной профессиональной программе в области противодействия коррупции;</w:t>
            </w:r>
          </w:p>
          <w:p>
            <w:pPr>
              <w:pStyle w:val="21"/>
              <w:widowControl w:val="false"/>
              <w:spacing w:lineRule="auto" w:line="240" w:before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</w:rPr>
              <w:t>гражданские служащие комитета материально – технического обеспечения Департамента, в должностные обязанности которых входит участие в проведении закупок товаров, работ, услуг дл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я обеспечения государственных нужд, не проходили обучение по дополнительным профессиональным программам в области противодействия коррупции;</w:t>
            </w:r>
          </w:p>
          <w:p>
            <w:pPr>
              <w:pStyle w:val="21"/>
              <w:widowControl w:val="false"/>
              <w:spacing w:lineRule="auto" w:line="240" w:before="0" w:after="0"/>
              <w:ind w:hanging="0" w:left="0" w:right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</w:rPr>
              <w:t>6 гражданских служащих прошли обучение по дополнительным профессиональ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ным программам в области противодействия коррупции.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Проведение мероприятий, направленных на доведение до сведения лиц, впервые поступивших на государственную гражданскую Томской области или муниципальную службу в Томской области, или на работу в организации для замещения должностей, связанных с соблюдением антикоррупционных стандартов, а также для впервые принятых руководителей подведомственных организаций, информации о соблюдении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Граждан, поступающих на гражданскую службу Томской области в Департамент ЗАГС Томской области, в обязательном порядке ознакамливают со следующими документами: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–</w:t>
            </w:r>
            <w:r>
              <w:rPr>
                <w:rFonts w:eastAsia="PT Astra Serif" w:cs="PT Astra Serif"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правовыми актами, регулирующими обязанности государственных гражданских служащих по соблюдению требований, запретов и ограничений, связанных с исполнением законодательства о коррупции;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–</w:t>
            </w:r>
            <w:r>
              <w:rPr>
                <w:rFonts w:eastAsia="PT Astra Serif" w:cs="PT Astra Serif"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правовыми актами Российской Федерации и Томской области для поступающих на гражданскую службу;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–</w:t>
            </w:r>
            <w:r>
              <w:rPr>
                <w:rFonts w:eastAsia="PT Astra Serif" w:cs="PT Astra Serif"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правовыми актами, в области безопасности персональных данных при их обработке в информационных системах;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left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–</w:t>
            </w:r>
            <w:r>
              <w:rPr>
                <w:rFonts w:eastAsia="PT Astra Serif" w:cs="PT Astra Serif"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памяткой для поступающих на гражданскую службу Томской области, в которой указаны ограничения, связанные с гражданской службой, запреты на гражданской службе, порядок предотвращения и урегулирования конфликта интересов на гражданской службе, выполнение гражданским служащим иной оплачиваемой работы, ответственность гражданского служащего за коррупционные правонарушения.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/>
                <w:sz w:val="24"/>
                <w:szCs w:val="24"/>
                <w:shd w:fill="FFFFFF" w:val="clear"/>
              </w:rPr>
              <w:t xml:space="preserve">Также все гражданские служащие Департамента ознакомились под подпись с распоряжением Департамента </w:t>
            </w:r>
            <w:r>
              <w:rPr>
                <w:rFonts w:eastAsia="Times New Roman" w:ascii="PT Astra Serif" w:hAnsi="PT Astra Serif"/>
                <w:sz w:val="24"/>
                <w:szCs w:val="24"/>
                <w:shd w:fill="auto" w:val="clear"/>
                <w:lang w:val="ru-RU" w:bidi="en-US"/>
              </w:rPr>
              <w:t>от 20.10.2025 № 95 «</w:t>
            </w:r>
            <w:r>
              <w:rPr>
                <w:rFonts w:ascii="PT Astra Serif" w:hAnsi="PT Astra Serif"/>
                <w:b w:val="false"/>
                <w:i w:val="false"/>
                <w:sz w:val="24"/>
                <w:szCs w:val="24"/>
                <w:lang w:eastAsia="ru-RU"/>
              </w:rPr>
              <w:t xml:space="preserve">Об утверждении Кодекса этики и служебного поведения государственных гражданских служащих Томской области, проходящих службу в Департаменте ЗАГС Томской области». </w:t>
            </w:r>
            <w:r>
              <w:rPr>
                <w:rFonts w:cs="PT Astra Serif" w:ascii="PT Astra Serif" w:hAnsi="PT Astra Serif"/>
                <w:color w:val="000000"/>
                <w:sz w:val="24"/>
                <w:szCs w:val="24"/>
                <w:shd w:fill="FFFFFF" w:val="clear"/>
              </w:rPr>
              <w:t>Сотрудникам Департамента направлялись методические, информационные и справочные материалы по вопросам противодействия коррупции под подпись.</w:t>
            </w:r>
          </w:p>
        </w:tc>
      </w:tr>
      <w:tr>
        <w:trPr>
          <w:trHeight w:val="2068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содержания, в том числе издание и размещение социальной рекламной продукции антикоррупционной направленности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"/>
              <w:widowControl w:val="false"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В помещениях Департамента ЗАГС Томской области и территориальных отделов ЗАГС имеются информационные стенды, на которых размещена информации антикоррупционного содержания. Данная информация актуализируется систематически. Кроме того, на указанных информационных стендах, а также на официальном сайте Департамента ЗАГС Томской области https://zags.tomsk.gov.ru размещены материалы в сфере противодействия коррупции.</w:t>
            </w:r>
          </w:p>
        </w:tc>
      </w:tr>
      <w:tr>
        <w:trPr>
          <w:trHeight w:val="38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>Организация и проведение мероприятий в областных государственных образовательных организациях Томской области, направленных на формирование антикоррупционных навыков у студентов и школьников (квесты, тематические олимпиады, научные и практико-ориентированные семинары, консультации и др.)</w:t>
            </w:r>
            <w:bookmarkStart w:id="2" w:name="undefined"/>
            <w:bookmarkEnd w:id="2"/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i/>
                <w:iCs/>
                <w:sz w:val="24"/>
                <w:szCs w:val="24"/>
                <w:lang w:val="ru-RU"/>
              </w:rPr>
              <w:t>заполняется Департаментом образования Томской области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Осуществление работы по формированию у служащих Томской области и работников государственных органов Томской области, органов власти Томской области, государственных и муниципальных организаций Томской области отрицательного отношения к коррупции с привлечением к данной работе общественности, других институтов гражданского общества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В Департаменте один раз в год проводится заседание Общественного Совета при Департаменте, на котором рассматривается вопрос по противодействию коррупции.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Осуществление комплекса организационных, разъяснительных и иных мер, в том числе проведение семинаров по соблюдению служащими Томской области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/>
                <w:sz w:val="24"/>
                <w:szCs w:val="24"/>
                <w:shd w:fill="FFFFFF" w:val="clear"/>
              </w:rPr>
              <w:t>Сотрудникам Департамента направлялись методические, информационные и справочные материалы по вопросам противодействия коррупции под подпись.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4.11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Проведение мероприятий по информированию общественности о результатах работы государственных органов Томской области и органов власти Томской области в сфере противодействия коррупции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На официальном сайте Департамента размещается информация о результатах работы Департамента в сфере противодействия коррупции.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Мониторинг административных регламентов предоставления государственных и муниципальных услуг, их актуализация, поддержание актуального состояния реестра государственных и муниципальных услуг Томской области, размещение сведений о государственных и муниципальных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и муниципальных услуг, предоставляемых на территории Томской области, и раскрытия информации о порядке оказания государственных и муниципальных услуг, предоставляемых на территории Томской области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Осуществлен мониторинг административных регламентов предоставления государственных услуг по государственной регистрации актов гражданского состояния. Принят в новой редакции приказ Департамента 16.06.2025 № 1 </w:t>
            </w:r>
            <w:r>
              <w:rPr>
                <w:rFonts w:eastAsia="Franklin Gothic Book" w:cs="PT Astra Serif" w:ascii="PT Astra Serif" w:hAnsi="PT Astra Serif"/>
                <w:color w:val="000000"/>
                <w:sz w:val="24"/>
                <w:szCs w:val="24"/>
                <w:lang w:eastAsia="en-US" w:bidi="ar-SA"/>
              </w:rPr>
              <w:t>«Об утверждении Административного регламента предоставления государственной услуги «Проставление апостиля на свидетельствах о государственной регистрации актов гражданского состояния и иных документах, подтверждающих наличие или отсутствие фактов государственной регистрации актов гражданского состояния, выданных органами ЗАГС Томской области и подлежащих вывозу за пределы территории Российской Федерации»</w:t>
            </w:r>
            <w:r>
              <w:rPr>
                <w:rFonts w:eastAsia="Franklin Gothic Book" w:cs="PT Astra Serif" w:ascii="PT Astra Serif" w:hAnsi="PT Astra Serif"/>
                <w:color w:val="000000"/>
                <w:sz w:val="24"/>
                <w:szCs w:val="24"/>
                <w:shd w:fill="auto" w:val="clear"/>
                <w:lang w:eastAsia="en-US" w:bidi="ar-SA"/>
              </w:rPr>
              <w:t>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Развитие сети многофункциональных центров в муниципальных образованиях Томской области, организация предоставления государственных и муниципальных услуг по принципу «одного окна» на базе многофункциональных центров по предоставлению государственных и муниципальных услуг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</w:rPr>
              <w:t xml:space="preserve">В рамках заключенного соглашения о взаимодействии с ОГКУ «Томский областной многофункциональный центр по предоставлению государственных и муниципальных услуг» от </w:t>
            </w: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  <w:lang w:val="en-US"/>
              </w:rPr>
              <w:t>29</w:t>
            </w: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</w:rPr>
              <w:t>.08.20</w:t>
            </w: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  <w:lang w:val="en-US"/>
              </w:rPr>
              <w:t>25</w:t>
            </w: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</w:rPr>
              <w:t xml:space="preserve"> №</w:t>
            </w: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  <w:lang w:val="en-US"/>
              </w:rPr>
              <w:t xml:space="preserve"> 123 </w:t>
            </w: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</w:rPr>
              <w:t xml:space="preserve">определен порядок организации предоставления государственных услуг в многофункциональном центре (далее – МФЦ). В МФЦ предусмотрена </w:t>
            </w: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  <w:lang w:val="ru-RU"/>
              </w:rPr>
              <w:t>в</w:t>
            </w:r>
            <w:r>
              <w:rPr>
                <w:rFonts w:eastAsia="PT Astra Serif" w:cs="PT Astra Serif" w:ascii="PT Astra Serif" w:hAnsi="PT Astra Serif"/>
                <w:sz w:val="24"/>
                <w:szCs w:val="24"/>
                <w:shd w:fill="FFFFFF" w:val="clear"/>
                <w:lang w:val="ru-RU" w:bidi="ar-SA"/>
              </w:rPr>
              <w:t xml:space="preserve">ыдача повторных свидетельств о государственной регистрации актов гражданского состояния; документов, подтверждающих факт (отсутствие факта) государственной регистрации акта гражданского состояния (в части приема заявления о предоставлении государственной услуги и выдачи результата предоставления государственной услуги); государственная регистрация заключения брака (в части приема заявления о предоставлении государственной услуги), </w:t>
            </w:r>
            <w:r>
              <w:rPr>
                <w:rFonts w:eastAsia="PT Astra Serif" w:cs="PT Astra Serif" w:ascii="PT Astra Serif" w:hAnsi="PT Astra Serif"/>
                <w:sz w:val="24"/>
                <w:szCs w:val="24"/>
                <w:highlight w:val="white"/>
                <w:shd w:fill="FFFFFF" w:val="clear"/>
                <w:lang w:val="ru-RU" w:bidi="ar-SA"/>
              </w:rPr>
              <w:t xml:space="preserve">за исключением государственной регистрации заключения брака в отношении иностранных граждан; государственная регистрация расторжения брака по взаимному согласию (в части приема заявления о предоставлении государственной услуги); проставление апостиля на свидетельствах о государственной регистрации актов гражданского состояния и иных документах, подтверждающих наличие или отсутствие фактов государственной регистрации актов гражданского состояния, выданных органами ЗАГС Томской области и предназначенных для использования за пределами территории Российской Федерации (в части приема заявления о предоставлении государственной услуги и выдачи результата предоставления государственной услуги). </w:t>
            </w:r>
            <w:r>
              <w:rPr>
                <w:rFonts w:cs="PT Astra Serif" w:ascii="PT Astra Serif" w:hAnsi="PT Astra Serif"/>
                <w:sz w:val="24"/>
                <w:szCs w:val="24"/>
                <w:shd w:fill="auto" w:val="clear"/>
              </w:rPr>
              <w:t>Помимо предоставления государственных услуг органов ЗАГС через МФЦ осуществляется оказание консультационных услуг по вопросам государственной регистрации актов гражданского состояния.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Организация процесса перевода региональных государственных услуг и муниципальных услуг в электронный вид с использованием федеральной государственной информационной системы «Единый портал государственных услуг»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/>
            </w:pPr>
            <w:r>
              <w:rPr>
                <w:rFonts w:ascii="PT Astra Serif" w:hAnsi="PT Astra Serif"/>
                <w:color w:val="000000"/>
                <w:sz w:val="24"/>
                <w:szCs w:val="24"/>
                <w:u w:val="none"/>
              </w:rPr>
              <w:t>В «Едином портале государственных услуг» можно получить следующие услуги:</w:t>
            </w:r>
            <w:r>
              <w:rPr>
                <w:rFonts w:ascii="PT Astra Serif" w:hAnsi="PT Astra Serif"/>
                <w:caps w:val="false"/>
                <w:smallCaps w:val="false"/>
                <w:color w:val="000000"/>
                <w:spacing w:val="0"/>
                <w:sz w:val="24"/>
                <w:szCs w:val="24"/>
                <w:u w:val="none"/>
              </w:rPr>
              <w:t> г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u w:val="none"/>
              </w:rPr>
              <w:t>осударственная регистрация рождения, г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</w:rPr>
              <w:t>осударственная регистрация заключения брака, государственная регистрация расторжения брака, государственная регистрация усыновления (удочерения), государственная регистрация установления отцовства, государственная регистрация смерти, выдача повторного свидетельства.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color w:val="000000"/>
                <w:sz w:val="24"/>
                <w:szCs w:val="24"/>
                <w:u w:val="non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8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>Организация формирования системы «Открытое правительство», разработка комплекса требований и рекомендаций по развитию инфраструктуры системы</w:t>
            </w:r>
          </w:p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>
              <w:rPr>
                <w:rFonts w:ascii="PT Astra Serif" w:hAnsi="PT Astra Serif"/>
                <w:sz w:val="24"/>
                <w:szCs w:val="24"/>
              </w:rPr>
              <w:t>Открытое правительство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На официальном сайте Департамента ЗАГС Томской области https://zags.tomsk.gov.ru в разделе «Открытые данные» размещается актуальная информация о деятельности Департамента ЗАГС Томской области.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Наполнение и поддержание в актуальном состоянии материалов, размещенных в разделе «Противодействие коррупции» на официальном интернет-портале Администрации Томской области (www.tomsk.gov.ru), официальных сайтах государственных органов Томской области и органов власти Томской области.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Анализ содержания данного раздела и его актуализация при необходимости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"/>
              <w:widowControl w:val="false"/>
              <w:spacing w:lineRule="auto" w:line="240" w:before="0" w:after="20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официальном сайте Департамента ЗАГС Томской области https://zags.tomsk.gov.ru наполняются и поддерживаются материалы раздела «Противодействие коррупции» в актуальном состоянии.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Размещение на официальном интернет-портале «Электронная Администрация Томской области» (www.tomsk.gov.ru), официальных сайтах государственных органов Томской области и органов власти Томской области,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"/>
              <w:widowControl w:val="false"/>
              <w:spacing w:before="0" w:after="20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официальном сайте Департамента ЗАГС Томской области https://zags.tomsk.gov.ru размещены материалы в сфере противодействия коррупции.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результатов мониторинга на заседаниях комиссий по соблюдению требований к служебному поведению служащих Томской области и урегулированию конфликта интересов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"/>
              <w:widowControl w:val="false"/>
              <w:spacing w:lineRule="auto" w:line="240" w:before="0" w:after="20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Систематически осуществлялся анализ публикаций в средствах массовой информации                 (далее – СМИ), экспертиза обращений граждан и юридических лиц на предмет наличия сведений о фактах проявления коррупции. До настоящего времени в СМИ отсутствовали сведения о фактах совершения коррупционных нарушений служащими Департамента ЗАГС Томской области. В адрес Департамента ЗАГС Томской области также не поступали аналогичные обращения от граждан и юридических лиц.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и муниципальных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iCs/>
                <w:sz w:val="24"/>
                <w:szCs w:val="24"/>
                <w:lang w:eastAsia="ru-RU"/>
              </w:rPr>
              <w:t>заполняется Департаментом государственного заказа Томской области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Осуществление ведомственного контроля за соблюдением подведомственными заказчиками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iCs/>
                <w:sz w:val="24"/>
                <w:szCs w:val="24"/>
                <w:lang w:eastAsia="ru-RU"/>
              </w:rPr>
              <w:t>заполняется органами исполнительной власти Томской области,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iCs/>
                <w:sz w:val="24"/>
                <w:szCs w:val="24"/>
                <w:lang w:eastAsia="ru-RU"/>
              </w:rPr>
              <w:t>имеющими подведомственные организации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в рамках законодательства Российской Федерации о закупках товаров, работ, услуг отдельными видами юридических лиц, в том числе работы, направленной на выявление личной заинтересованности служащих (работников), которая приводит или может привести к конфликту интересов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"/>
              <w:widowControl w:val="false"/>
              <w:spacing w:lineRule="auto" w:line="240" w:before="0" w:after="20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В целях предотвращения нарушений при осуществлении закупок Департаментом ЗАГС Томской области организована работа, направленная на соблюдение действующего законодательства Российской Федерации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закупок. И</w:t>
            </w:r>
            <w:r>
              <w:rPr>
                <w:rFonts w:cs="PT Astra Serif" w:ascii="PT Astra Serif" w:hAnsi="PT Astra Serif"/>
                <w:sz w:val="24"/>
                <w:szCs w:val="24"/>
                <w:shd w:fill="FFFFFF" w:val="clear"/>
              </w:rPr>
              <w:t>нформация о фактах нарушения требований к служебному поведению и проявлениях коррупции, не поступала.</w:t>
            </w:r>
          </w:p>
        </w:tc>
      </w:tr>
      <w:tr>
        <w:trPr>
          <w:trHeight w:val="38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 w:left="57" w:righ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>Обобщение информации о результатах контрольных мероприятий в сфере закупок товаров, работ, услуг для нужд Томской области в рамках контроля, осуществляемого в соответствии с пунктом 2 части 3 и частью 8 статьи 99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lang w:val="ru-RU"/>
              </w:rPr>
              <w:t>заполняется Комитетом государственного финансового контроля Томской области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В соответствии со ст. 13.5 Федерального закона от 25 декабря 2008 года № 273-ФЗ                               «О противодействии коррупции» осуществление передачи материалов антикоррупционной проверки в органы прокуратуры Томской области в случаях:</w:t>
            </w:r>
          </w:p>
          <w:p>
            <w:pPr>
              <w:pStyle w:val="Normal"/>
              <w:spacing w:lineRule="auto" w:line="240" w:before="0" w:after="105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- увольнения проверяемого лица после завершения проверки и до принятия решения о применении к последнему взыскания за совершенное коррупционное правонарушение;</w:t>
            </w:r>
          </w:p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- увольнения проверяемого лица в ходе осуществления проверки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3969" w:leader="none"/>
                <w:tab w:val="left" w:pos="4253" w:leader="none"/>
              </w:tabs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left"/>
              <w:rPr>
                <w:sz w:val="24"/>
                <w:szCs w:val="24"/>
              </w:rPr>
            </w:pPr>
            <w:r>
              <w:rPr>
                <w:rFonts w:eastAsia="PT Astra Serif" w:cs="PT Astra Serif" w:ascii="PT Astra Serif" w:hAnsi="PT Astra Serif"/>
                <w:i w:val="false"/>
                <w:iCs w:val="false"/>
                <w:color w:themeColor="text1" w:val="000000"/>
                <w:sz w:val="24"/>
                <w:szCs w:val="24"/>
              </w:rPr>
              <w:t>В соответствии со статьей 13</w:t>
            </w:r>
            <w:r>
              <w:rPr>
                <w:rFonts w:eastAsia="PT Astra Serif" w:cs="PT Astra Serif" w:ascii="PT Astra Serif" w:hAnsi="PT Astra Serif"/>
                <w:i w:val="false"/>
                <w:iCs w:val="false"/>
                <w:color w:themeColor="text1" w:val="000000"/>
                <w:sz w:val="24"/>
                <w:szCs w:val="24"/>
                <w:vertAlign w:val="superscript"/>
              </w:rPr>
              <w:t xml:space="preserve">5 </w:t>
            </w:r>
            <w:r>
              <w:rPr>
                <w:rFonts w:eastAsia="PT Astra Serif" w:cs="PT Astra Serif" w:ascii="PT Astra Serif" w:hAnsi="PT Astra Serif"/>
                <w:i w:val="false"/>
                <w:iCs w:val="false"/>
                <w:color w:themeColor="text1" w:val="000000"/>
                <w:position w:val="0"/>
                <w:sz w:val="24"/>
                <w:sz w:val="24"/>
                <w:szCs w:val="24"/>
                <w:vertAlign w:val="baseline"/>
              </w:rPr>
              <w:t>Федерального закона от 25.12.2008 № 273-ФЗ «О противодействии коррупции» в Департаменте отсутствуют случаи осуществления проверок прокуратурой Томской области.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Информирование органов прокуратуры об отсутствии в государственных органах Томской области и органах власти Томской области в течение 6 месяцев сведений о дальнейшем трудоустройстве бывшего служащего Томской области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В прокуратуру Томской области направлялись отчеты об отсутствии сведений в течении 6 месяцев сведений о дальнейшем трудоустройстве бывшего служащего Департамента.</w:t>
            </w:r>
          </w:p>
        </w:tc>
      </w:tr>
      <w:tr>
        <w:trPr>
          <w:trHeight w:val="38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Осуществление проверок соблюдения законодательства при реализации национальных проектов и государственных программ в порядке, установленном законодательством Российской Федерации и в рамках имеющихся полномочий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lang w:eastAsia="ru-RU"/>
              </w:rPr>
              <w:t>заполняется Комитетом государственного финансового контроля Томской области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8.6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Предоставление в УМВД России по Томской области информации о выявленных правонарушениях в сфере реализации национальных проектов в целях организации осуществления проверок соблюдения законодательства на предмет выявления коррупционных правонарушений в порядке, предусмотренном законодательством Российской Федерации, и в рамках имеющихся полномочий, а также недопущение нецелевого использования бюджетных ассигнований, выделяемых на реализацию национальных проектов, предусмотренных Указом Президента Российской Федерации от 07.05.2024 № 309 «О национальных целях развития Российской Федерации на период до 2030 года и на перспективу до 2036 года»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lang w:eastAsia="ru-RU"/>
              </w:rPr>
              <w:t>заполняется Комитетом государственного финансового контроля Томской области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8.7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lang w:eastAsia="ru-RU"/>
              </w:rPr>
              <w:t>Направление при наличии оснований  в правоохранительные органы, органы прокуратуры информации о нарушениях в финансово-бюджетной сфере и в сфере закупок, выявленных при осуществлении государственного и муниципального финансового контроля, контроля в сфере закупок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lang w:eastAsia="ru-RU"/>
              </w:rPr>
              <w:t>заполняется Комитетом государственного финансового контроля Томской области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eastAsia="Times New Roman" w:cs="Times New Roman"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highlight w:val="white"/>
                <w:lang w:eastAsia="ru-RU"/>
              </w:rPr>
              <w:t>12.1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highlight w:val="white"/>
                <w:lang w:eastAsia="ru-RU"/>
              </w:rPr>
              <w:t>Обеспечение разработки и реализации мер по предупреждению коррупции     в подведомственных организациях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highlight w:val="white"/>
                <w:lang w:eastAsia="ru-RU"/>
              </w:rPr>
              <w:t>заполняется исполнительными органами Томской области,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highlight w:val="white"/>
                <w:lang w:eastAsia="ru-RU"/>
              </w:rPr>
              <w:t>имеющими подведомственные организации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highlight w:val="white"/>
                <w:lang w:eastAsia="ru-RU"/>
              </w:rPr>
              <w:t>12.2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highlight w:val="white"/>
                <w:lang w:eastAsia="ru-RU"/>
              </w:rPr>
              <w:t>Проведение информационно-разъяснительной работы для руководителей и работников подведомственных организаций по вопросам противодействия коррупции, в том числе в связи с осуществлением закупок товаров, работ, услуг для обеспечения государственных (муниципальных) нужд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highlight w:val="white"/>
                <w:lang w:eastAsia="ru-RU"/>
              </w:rPr>
              <w:t>заполняется исполнительными органами Томской области,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highlight w:val="white"/>
                <w:lang w:eastAsia="ru-RU"/>
              </w:rPr>
              <w:t>имеющими подведомственные организации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highlight w:val="white"/>
                <w:lang w:eastAsia="ru-RU"/>
              </w:rPr>
              <w:t>12.3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highlight w:val="white"/>
                <w:lang w:eastAsia="ru-RU"/>
              </w:rPr>
              <w:t>Оказание методической помощи в организации антикоррупционной работы в подведомственных организациях, в том числе при подготовке необходимых локальных документов в сфере противодействия коррупции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highlight w:val="white"/>
                <w:lang w:eastAsia="ru-RU"/>
              </w:rPr>
              <w:t>заполняется исполнительными органами Томской области,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highlight w:val="white"/>
                <w:lang w:eastAsia="ru-RU"/>
              </w:rPr>
              <w:t>имеющими подведомственные организации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highlight w:val="white"/>
                <w:lang w:eastAsia="ru-RU"/>
              </w:rPr>
              <w:t xml:space="preserve"> </w:t>
            </w:r>
            <w:r>
              <w:rPr>
                <w:rFonts w:eastAsia="Times New Roman" w:cs="Times New Roman" w:ascii="PT Astra Serif" w:hAnsi="PT Astra Serif"/>
                <w:sz w:val="24"/>
                <w:szCs w:val="24"/>
                <w:highlight w:val="white"/>
                <w:lang w:eastAsia="ru-RU"/>
              </w:rPr>
              <w:t>12.4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highlight w:val="white"/>
                <w:lang w:eastAsia="ru-RU"/>
              </w:rPr>
              <w:t>Проведение ведомственных проверок по вопросам соблюдения законодательства в отношении подведомственных организаций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highlight w:val="white"/>
                <w:lang w:eastAsia="ru-RU"/>
              </w:rPr>
              <w:t>заполняется исполнительными органами Томской области,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highlight w:val="white"/>
                <w:lang w:eastAsia="ru-RU"/>
              </w:rPr>
              <w:t>имеющими подведомственные организации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0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highlight w:val="white"/>
                <w:lang w:eastAsia="ru-RU"/>
              </w:rPr>
              <w:t xml:space="preserve"> </w:t>
            </w:r>
            <w:r>
              <w:rPr>
                <w:rFonts w:eastAsia="Times New Roman" w:cs="Times New Roman" w:ascii="PT Astra Serif" w:hAnsi="PT Astra Serif"/>
                <w:sz w:val="24"/>
                <w:szCs w:val="24"/>
                <w:highlight w:val="white"/>
                <w:lang w:eastAsia="ru-RU"/>
              </w:rPr>
              <w:t>12.5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sz w:val="24"/>
                <w:szCs w:val="24"/>
                <w:highlight w:val="white"/>
                <w:lang w:eastAsia="ru-RU"/>
              </w:rPr>
              <w:t>Анализ деятельности подведомственных организаций при реализации ими антикоррупционных мер</w:t>
            </w:r>
          </w:p>
        </w:tc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highlight w:val="white"/>
                <w:lang w:eastAsia="ru-RU"/>
              </w:rPr>
              <w:t>заполняется исполнительными органами Томской области,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i/>
                <w:sz w:val="24"/>
                <w:szCs w:val="24"/>
                <w:highlight w:val="white"/>
                <w:lang w:eastAsia="ru-RU"/>
              </w:rPr>
              <w:t>имеющими подведомственные организации</w:t>
            </w:r>
          </w:p>
        </w:tc>
      </w:tr>
    </w:tbl>
    <w:p>
      <w:pPr>
        <w:pStyle w:val="Normal"/>
        <w:spacing w:lineRule="auto" w:line="240" w:before="0" w:after="0"/>
        <w:rPr>
          <w:rFonts w:ascii="PT Astra Serif" w:hAnsi="PT Astra Serif" w:cs="Times New Roman"/>
          <w:sz w:val="24"/>
          <w:szCs w:val="24"/>
          <w:highlight w:val="white"/>
        </w:rPr>
      </w:pPr>
      <w:r>
        <w:rPr>
          <w:rFonts w:cs="Times New Roman" w:ascii="PT Astra Serif" w:hAnsi="PT Astra Serif"/>
          <w:sz w:val="24"/>
          <w:szCs w:val="24"/>
          <w:highlight w:val="white"/>
        </w:rPr>
      </w:r>
    </w:p>
    <w:p>
      <w:pPr>
        <w:pStyle w:val="Normal"/>
        <w:widowControl/>
        <w:bidi w:val="0"/>
        <w:spacing w:lineRule="auto" w:line="276" w:beforeAutospacing="0" w:before="0" w:afterAutospacing="0" w:after="20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701" w:right="850" w:gutter="0" w:header="709" w:top="850" w:footer="709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PT Astra Serif">
    <w:charset w:val="cc"/>
    <w:family w:val="roman"/>
    <w:pitch w:val="variable"/>
  </w:font>
  <w:font w:name="PT Astra Serif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4"/>
        <w:szCs w:val="24"/>
      </w:rPr>
    </w:pPr>
    <w:r>
      <w:rPr>
        <w:rFonts w:eastAsia="PT Astra Serif" w:cs="PT Astra Serif" w:ascii="PT Astra Serif" w:hAnsi="PT Astra Serif"/>
        <w:sz w:val="24"/>
        <w:szCs w:val="24"/>
      </w:rPr>
      <w:fldChar w:fldCharType="begin"/>
    </w:r>
    <w:r>
      <w:rPr>
        <w:sz w:val="24"/>
        <w:szCs w:val="24"/>
        <w:rFonts w:eastAsia="PT Astra Serif" w:cs="PT Astra Serif" w:ascii="PT Astra Serif" w:hAnsi="PT Astra Serif"/>
      </w:rPr>
      <w:instrText xml:space="preserve"> PAGE </w:instrText>
    </w:r>
    <w:r>
      <w:rPr>
        <w:sz w:val="24"/>
        <w:szCs w:val="24"/>
        <w:rFonts w:eastAsia="PT Astra Serif" w:cs="PT Astra Serif" w:ascii="PT Astra Serif" w:hAnsi="PT Astra Serif"/>
      </w:rPr>
      <w:fldChar w:fldCharType="separate"/>
    </w:r>
    <w:r>
      <w:rPr>
        <w:sz w:val="24"/>
        <w:szCs w:val="24"/>
        <w:rFonts w:eastAsia="PT Astra Serif" w:cs="PT Astra Serif" w:ascii="PT Astra Serif" w:hAnsi="PT Astra Serif"/>
      </w:rPr>
      <w:t>22</w:t>
    </w:r>
    <w:r>
      <w:rPr>
        <w:sz w:val="24"/>
        <w:szCs w:val="24"/>
        <w:rFonts w:eastAsia="PT Astra Serif" w:cs="PT Astra Serif" w:ascii="PT Astra Serif" w:hAnsi="PT Astra Serif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uiPriority w:val="9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uiPriority w:val="9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uiPriority w:val="9"/>
    <w:qFormat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uiPriority w:val="10"/>
    <w:qFormat/>
    <w:rPr>
      <w:sz w:val="48"/>
      <w:szCs w:val="48"/>
    </w:rPr>
  </w:style>
  <w:style w:type="character" w:styleId="SubtitleChar" w:customStyle="1">
    <w:name w:val="Subtitle Char"/>
    <w:uiPriority w:val="11"/>
    <w:qFormat/>
    <w:rPr>
      <w:sz w:val="24"/>
      <w:szCs w:val="24"/>
    </w:rPr>
  </w:style>
  <w:style w:type="character" w:styleId="QuoteChar" w:customStyle="1">
    <w:name w:val="Quote Char"/>
    <w:link w:val="Quote"/>
    <w:uiPriority w:val="29"/>
    <w:qFormat/>
    <w:rPr>
      <w:i/>
    </w:rPr>
  </w:style>
  <w:style w:type="character" w:styleId="IntenseQuoteChar" w:customStyle="1">
    <w:name w:val="Intense Quote Char"/>
    <w:link w:val="IntenseQuote"/>
    <w:uiPriority w:val="30"/>
    <w:qFormat/>
    <w:rPr>
      <w:i/>
    </w:rPr>
  </w:style>
  <w:style w:type="character" w:styleId="HeaderChar" w:customStyle="1">
    <w:name w:val="Header Char"/>
    <w:uiPriority w:val="99"/>
    <w:qFormat/>
    <w:rPr/>
  </w:style>
  <w:style w:type="character" w:styleId="FooterChar" w:customStyle="1">
    <w:name w:val="Footer Char"/>
    <w:uiPriority w:val="99"/>
    <w:qFormat/>
    <w:rPr/>
  </w:style>
  <w:style w:type="character" w:styleId="CaptionChar" w:customStyle="1">
    <w:name w:val="Caption Char"/>
    <w:uiPriority w:val="35"/>
    <w:qFormat/>
    <w:rPr>
      <w:b/>
      <w:bCs/>
      <w:color w:themeColor="accent1" w:val="5B9BD5"/>
      <w:sz w:val="18"/>
      <w:szCs w:val="18"/>
    </w:rPr>
  </w:style>
  <w:style w:type="character" w:styleId="Hyperlink">
    <w:name w:val="Hyperlink"/>
    <w:uiPriority w:val="99"/>
    <w:unhideWhenUsed/>
    <w:rPr>
      <w:color w:themeColor="hyperlink" w:val="0563C1"/>
      <w:u w:val="single"/>
    </w:rPr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user">
    <w:name w:val="Символ сноски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 w:customStyle="1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user1">
    <w:name w:val="Символ концевой сноски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FontStyle29">
    <w:name w:val="Font Style29"/>
    <w:basedOn w:val="DefaultParagraphFont"/>
    <w:qFormat/>
    <w:rPr>
      <w:rFonts w:ascii="Times New Roman" w:hAnsi="Times New Roman" w:cs="Times New Roman"/>
      <w:b/>
      <w:bCs/>
      <w:sz w:val="28"/>
      <w:szCs w:val="28"/>
    </w:rPr>
  </w:style>
  <w:style w:type="character" w:styleId="user2">
    <w:name w:val="Маркеры (user)"/>
    <w:qFormat/>
    <w:rPr>
      <w:rFonts w:ascii="OpenSymbol" w:hAnsi="OpenSymbol" w:eastAsia="OpenSymbol" w:cs="OpenSymbol"/>
    </w:rPr>
  </w:style>
  <w:style w:type="character" w:styleId="Style7">
    <w:name w:val="Основной текст_"/>
    <w:basedOn w:val="DefaultParagraphFont"/>
    <w:qFormat/>
    <w:rPr>
      <w:rFonts w:ascii="Times New Roman" w:hAnsi="Times New Roman" w:eastAsia="Times New Roman" w:cs="Times New Roman"/>
      <w:shd w:fill="FFFFFF" w:val="clear"/>
    </w:rPr>
  </w:style>
  <w:style w:type="character" w:styleId="11pt">
    <w:name w:val="Основной текст + 11 pt"/>
    <w:basedOn w:val="Style7"/>
    <w:qFormat/>
    <w:rPr>
      <w:rFonts w:ascii="Times New Roman" w:hAnsi="Times New Roman" w:eastAsia="Times New Roman" w:cs="Times New Roman"/>
      <w:color w:val="000000"/>
      <w:spacing w:val="0"/>
      <w:sz w:val="22"/>
      <w:szCs w:val="22"/>
      <w:shd w:fill="FFFFFF" w:val="clear"/>
      <w:lang w:val="ru-RU" w:eastAsia="ru-RU" w:bidi="ru-RU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Rule="auto" w:line="276"/>
    </w:pPr>
    <w:rPr>
      <w:b/>
      <w:bCs/>
      <w:color w:themeColor="accent1" w:val="5B9BD5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Arial"/>
    </w:rPr>
  </w:style>
  <w:style w:type="paragraph" w:styleId="user3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4">
    <w:name w:val="Указатель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10">
    <w:name w:val="Колонтитулы"/>
    <w:basedOn w:val="Normal"/>
    <w:qFormat/>
    <w:pPr/>
    <w:rPr/>
  </w:style>
  <w:style w:type="paragraph" w:styleId="user5">
    <w:name w:val="Колонтитулы (user)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pPr>
      <w:spacing w:before="0" w:afterAutospacing="0" w:after="0"/>
    </w:pPr>
    <w:rPr/>
  </w:style>
  <w:style w:type="paragraph" w:styleId="NoSpacing">
    <w:name w:val="No Spacing"/>
    <w:basedOn w:val="Normal"/>
    <w:uiPriority w:val="1"/>
    <w:qFormat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ConsPlusNormal" w:customStyle="1">
    <w:name w:val="ConsPlusNormal"/>
    <w:qFormat/>
    <w:pPr>
      <w:keepNext w:val="false"/>
      <w:keepLines w:val="false"/>
      <w:pageBreakBefore w:val="false"/>
      <w:widowControl w:val="false"/>
      <w:shd w:val="nil" w:color="auto" w:fill="auto"/>
      <w:suppressAutoHyphens w:val="true"/>
      <w:bidi w:val="0"/>
      <w:spacing w:lineRule="auto" w:line="240" w:beforeAutospacing="0" w:before="0" w:afterAutospacing="0" w:after="0"/>
      <w:ind w:hanging="0" w:left="0" w:right="0"/>
      <w:jc w:val="lef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4"/>
      <w:sz w:val="24"/>
      <w:szCs w:val="20"/>
      <w:u w:val="none"/>
      <w:shd w:fill="auto" w:val="clear"/>
      <w:vertAlign w:val="baseline"/>
      <w:lang w:val="en-US" w:eastAsia="zh-CN" w:bidi="ar-SA"/>
      <w14:ligatures w14:val="none"/>
    </w:rPr>
  </w:style>
  <w:style w:type="paragraph" w:styleId="21">
    <w:name w:val="Основной текст с отступом 21"/>
    <w:basedOn w:val="Normal"/>
    <w:qFormat/>
    <w:pPr>
      <w:suppressAutoHyphens w:val="true"/>
      <w:ind w:firstLine="1080" w:left="0" w:right="0"/>
      <w:jc w:val="both"/>
    </w:pPr>
    <w:rPr>
      <w:sz w:val="28"/>
    </w:rPr>
  </w:style>
  <w:style w:type="paragraph" w:styleId="user6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7">
    <w:name w:val="Заголовок таблицы (user)"/>
    <w:basedOn w:val="user6"/>
    <w:qFormat/>
    <w:pPr>
      <w:suppressLineNumbers/>
      <w:jc w:val="center"/>
    </w:pPr>
    <w:rPr>
      <w:b/>
      <w:bCs/>
    </w:rPr>
  </w:style>
  <w:style w:type="paragraph" w:styleId="2">
    <w:name w:val="Основной текст2"/>
    <w:basedOn w:val="Normal"/>
    <w:qFormat/>
    <w:pPr>
      <w:shd w:val="clear" w:color="auto" w:fill="FFFFFF"/>
      <w:spacing w:lineRule="atLeast" w:line="0"/>
      <w:ind w:hanging="740"/>
    </w:pPr>
    <w:rPr>
      <w:rFonts w:ascii="Times New Roman" w:hAnsi="Times New Roman" w:eastAsia="Times New Roman" w:cs="Times New Roman"/>
      <w:color w:val="auto"/>
      <w:sz w:val="22"/>
      <w:szCs w:val="22"/>
      <w:lang w:eastAsia="en-US" w:bidi="ar-SA"/>
    </w:rPr>
  </w:style>
  <w:style w:type="numbering" w:styleId="Style11" w:default="1">
    <w:name w:val="Без списка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nil"/>
        <w:bottom w:val="single" w:color="000000" w:themeColor="text1" w:sz="4" w:space="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  <w:caps/>
      </w:rPr>
      <w:tblPr/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firstRow">
      <w:rPr>
        <w:b/>
        <w:caps/>
      </w:rPr>
      <w:tblPr/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Col">
      <w:rPr>
        <w:b/>
        <w:caps/>
      </w:rPr>
      <w:tblPr/>
    </w:tblStylePr>
    <w:tblStylePr w:type="lastRow">
      <w:rPr>
        <w:b/>
        <w:caps/>
      </w:rPr>
      <w:tblPr/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</w:rPr>
      <w:tblPr/>
    </w:tblStylePr>
    <w:tblStylePr w:type="firstRow">
      <w:rPr>
        <w:b/>
      </w:rPr>
      <w:tblPr/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</w:rPr>
      <w:tblPr/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text1" w:sz="12" w:space="0"/>
          <w:right w:val="nil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DEBF6" w:themeFill="accent1" w:themeFillTint="34"/>
      </w:tcPr>
    </w:tblStylePr>
    <w:tblStylePr w:type="band1Vert">
      <w:rPr>
        <w:sz w:val="22"/>
      </w:rPr>
      <w:tblPr/>
      <w:tcPr>
        <w:shd w:val="clear" w:color="FFFFFF" w:fill="DDEBF6" w:themeFill="accen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accent1" w:sz="12" w:space="0"/>
          <w:right w:val="nil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accent2" w:sz="12" w:space="0"/>
          <w:right w:val="nil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accent3" w:sz="12" w:space="0"/>
          <w:right w:val="nil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accent4" w:sz="12" w:space="0"/>
          <w:right w:val="nil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accent5" w:sz="12" w:space="0"/>
          <w:right w:val="nil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accent6" w:sz="12" w:space="0"/>
          <w:right w:val="nil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DEBF6" w:themeFill="accent1" w:themeFillTint="34"/>
      </w:tcPr>
    </w:tblStylePr>
    <w:tblStylePr w:type="band1Vert">
      <w:rPr>
        <w:sz w:val="22"/>
      </w:rPr>
      <w:tblPr/>
      <w:tcPr>
        <w:shd w:val="clear" w:color="FFFFFF" w:fill="DDEBF6" w:themeFill="accen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FEBF6" w:themeFill="accent1" w:themeFillTint="32"/>
      </w:tcPr>
    </w:tblStylePr>
    <w:tblStylePr w:type="band1Vert">
      <w:rPr>
        <w:sz w:val="22"/>
      </w:rPr>
      <w:tblPr/>
      <w:tcPr>
        <w:shd w:val="clear" w:color="FFFFFF" w:fill="DFEBF6" w:themeFill="accent1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  <w:shd w:val="clear" w:color="FFFFFF" w:fill="67A4D8" w:themeFill="accent1" w:themeFillTint="e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  <w:shd w:val="clear" w:color="FFFFFF" w:fill="F4B185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  <w:shd w:val="clear" w:color="FFFFFF" w:fill="A5A5A5" w:themeFill="accent3" w:themeFillTint="fe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  <w:shd w:val="clear" w:color="FFFFFF" w:fill="FFD864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fill="4472C4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fill="70AD47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8A8A8A" w:themeFill="text1" w:themeFillTint="75"/>
      </w:tcPr>
    </w:tblStylePr>
    <w:tblStylePr w:type="band1Vert">
      <w:tblPr/>
      <w:tcPr>
        <w:shd w:val="clear" w:color="FFFFFF" w:fill="8A8A8A" w:themeFill="text1" w:themeFillTint="75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000000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B4D2EB" w:themeFill="accent1" w:themeFillTint="75"/>
      </w:tcPr>
    </w:tblStylePr>
    <w:tblStylePr w:type="band1Vert">
      <w:tblPr/>
      <w:tcPr>
        <w:shd w:val="clear" w:color="FFFFFF" w:fill="B4D2EB" w:themeFill="accent1" w:themeFillTint="75"/>
      </w:tcPr>
    </w:tblStylePr>
    <w:tblStylePr w:type="firstCol">
      <w:rPr>
        <w:b/>
        <w:sz w:val="22"/>
      </w:rPr>
      <w:tblPr/>
      <w:tcPr>
        <w:shd w:val="clear" w:color="FFFFFF" w:fill="5B9BD5" w:themeFill="accent1"/>
      </w:tcPr>
    </w:tblStyle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5B9BD5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6C3A1" w:themeFill="accent2" w:themeFillTint="75"/>
      </w:tcPr>
    </w:tblStylePr>
    <w:tblStylePr w:type="band1Vert">
      <w:tblPr/>
      <w:tcPr>
        <w:shd w:val="clear" w:color="FFFFFF" w:fill="F6C3A1" w:themeFill="accent2" w:themeFillTint="75"/>
      </w:tcPr>
    </w:tblStylePr>
    <w:tblStylePr w:type="firstCol">
      <w:rPr>
        <w:b/>
        <w:sz w:val="22"/>
      </w:rPr>
      <w:tblPr/>
      <w:tcPr>
        <w:shd w:val="clear" w:color="FFFFFF" w:fill="ED7D31" w:themeFill="accent2"/>
      </w:tcPr>
    </w:tblStyle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ED7D31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D6D6D6" w:themeFill="accent3" w:themeFillTint="75"/>
      </w:tcPr>
    </w:tblStylePr>
    <w:tblStylePr w:type="band1Vert">
      <w:tblPr/>
      <w:tcPr>
        <w:shd w:val="clear" w:color="FFFFFF" w:fill="D6D6D6" w:themeFill="accent3" w:themeFillTint="75"/>
      </w:tcPr>
    </w:tblStylePr>
    <w:tblStylePr w:type="firstCol">
      <w:rPr>
        <w:b/>
        <w:sz w:val="22"/>
      </w:rPr>
      <w:tblPr/>
      <w:tcPr>
        <w:shd w:val="clear" w:color="FFFFFF" w:fill="A5A5A5" w:themeFill="accent3"/>
      </w:tcPr>
    </w:tblStyle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A5A5A5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EE189" w:themeFill="accent4" w:themeFillTint="75"/>
      </w:tcPr>
    </w:tblStylePr>
    <w:tblStylePr w:type="band1Vert">
      <w:tblPr/>
      <w:tcPr>
        <w:shd w:val="clear" w:color="FFFFFF" w:fill="FEE189" w:themeFill="accent4" w:themeFillTint="75"/>
      </w:tcPr>
    </w:tblStylePr>
    <w:tblStylePr w:type="firstCol">
      <w:rPr>
        <w:b/>
        <w:sz w:val="22"/>
      </w:rPr>
      <w:tblPr/>
      <w:tcPr>
        <w:shd w:val="clear" w:color="FFFFFF" w:fill="FFC000" w:themeFill="accent4"/>
      </w:tcPr>
    </w:tblStyle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FFC000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AABFE3" w:themeFill="accent5" w:themeFillTint="75"/>
      </w:tcPr>
    </w:tblStylePr>
    <w:tblStylePr w:type="band1Vert">
      <w:tblPr/>
      <w:tcPr>
        <w:shd w:val="clear" w:color="FFFFFF" w:fill="AABFE3" w:themeFill="accent5" w:themeFillTint="75"/>
      </w:tcPr>
    </w:tblStylePr>
    <w:tblStylePr w:type="firstCol">
      <w:rPr>
        <w:b/>
        <w:sz w:val="22"/>
      </w:rPr>
      <w:tblPr/>
      <w:tcPr>
        <w:shd w:val="clear" w:color="FFFFFF" w:fill="4472C4" w:themeFill="accent5"/>
      </w:tcPr>
    </w:tblStyle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4472C4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BEDBA8" w:themeFill="accent6" w:themeFillTint="75"/>
      </w:tcPr>
    </w:tblStylePr>
    <w:tblStylePr w:type="band1Vert">
      <w:tblPr/>
      <w:tcPr>
        <w:shd w:val="clear" w:color="FFFFFF" w:fill="BEDBA8" w:themeFill="accent6" w:themeFillTint="75"/>
      </w:tcPr>
    </w:tblStylePr>
    <w:tblStylePr w:type="firstCol">
      <w:rPr>
        <w:b/>
        <w:sz w:val="22"/>
      </w:rPr>
      <w:tblPr/>
      <w:tcPr>
        <w:shd w:val="clear" w:color="FFFFFF" w:fill="70AD47" w:themeFill="accent6"/>
      </w:tcPr>
    </w:tblStyle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70AD47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1Vert">
      <w:tblPr/>
      <w:tcPr>
        <w:shd w:val="clear" w:color="FFFFFF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rPr>
        <w:b/>
        <w:color w:themeColor="text1" w:themeTint="80" w:themeShade="95"/>
      </w:rPr>
      <w:tblPr/>
    </w:tblStylePr>
    <w:tblStylePr w:type="firstRow">
      <w:rPr>
        <w:b/>
        <w:color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  <w:color w:themeColor="text1" w:themeTint="80" w:themeShade="95"/>
      </w:rPr>
      <w:tblPr/>
    </w:tblStylePr>
    <w:tblStylePr w:type="lastRow">
      <w:rPr>
        <w:b/>
        <w:color w:themeColor="text1" w:themeTint="80" w:themeShade="95"/>
      </w:rPr>
      <w:tblPr/>
    </w:tblStylePr>
    <w:tblStylePr w:type="wholeTable">
      <w:rPr>
        <w:color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themeColor="accent1" w:themeTint="80" w:themeShade="95"/>
        <w:sz w:val="22"/>
      </w:rPr>
      <w:tblPr/>
      <w:tcPr>
        <w:shd w:val="clear" w:color="FFFFFF" w:fill="DDEBF6" w:themeFill="accent1" w:themeFillTint="34"/>
      </w:tcPr>
    </w:tblStylePr>
    <w:tblStylePr w:type="band1Vert">
      <w:tblPr/>
      <w:tcPr>
        <w:shd w:val="clear" w:color="FFFFFF" w:fill="DDEBF6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  <w:tblStylePr w:type="firstCol">
      <w:rPr>
        <w:b/>
        <w:color w:themeColor="accent1" w:themeTint="80" w:themeShade="95"/>
      </w:rPr>
      <w:tblPr/>
    </w:tblStylePr>
    <w:tblStylePr w:type="firstRow">
      <w:rPr>
        <w:b/>
        <w:color w:themeColor="accent1" w:themeTint="80" w:themeShade="95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themeColor="accent1" w:themeTint="80" w:themeShade="95"/>
      </w:rPr>
      <w:tblPr/>
    </w:tblStylePr>
    <w:tblStylePr w:type="lastRow">
      <w:rPr>
        <w:b/>
        <w:color w:themeColor="accent1" w:themeTint="80" w:themeShade="95"/>
      </w:rPr>
      <w:tblPr/>
    </w:tblStylePr>
    <w:tblStylePr w:type="wholeTable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rPr>
        <w:b/>
        <w:color w:themeColor="accent2" w:themeTint="97" w:themeShade="95"/>
      </w:rPr>
      <w:tblPr/>
    </w:tblStylePr>
    <w:tblStylePr w:type="firstRow">
      <w:rPr>
        <w:b/>
        <w:color w:themeColor="accent2" w:themeTint="97" w:themeShade="95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themeColor="accent2" w:themeTint="97" w:themeShade="95"/>
      </w:rPr>
      <w:tblPr/>
    </w:tblStylePr>
    <w:tblStylePr w:type="lastRow">
      <w:rPr>
        <w:b/>
        <w:color w:themeColor="accent2" w:themeTint="97" w:themeShade="95"/>
      </w:rPr>
      <w:tblPr/>
    </w:tblStylePr>
    <w:tblStylePr w:type="wholeTable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themeColor="accent3" w:themeTint="fe" w:themeShade="95"/>
        <w:sz w:val="22"/>
      </w:rPr>
      <w:tblPr/>
      <w:tcPr>
        <w:shd w:val="clear" w:color="FFFFFF" w:fill="EDEDED" w:themeFill="accent3" w:themeFillTint="34"/>
      </w:tcPr>
    </w:tblStylePr>
    <w:tblStylePr w:type="band1Vert">
      <w:tblPr/>
      <w:tcPr>
        <w:shd w:val="clear" w:color="FFFFFF" w:fill="EDEDED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  <w:tblStylePr w:type="firstCol">
      <w:rPr>
        <w:b/>
        <w:color w:themeColor="accent3" w:themeTint="fe" w:themeShade="95"/>
      </w:rPr>
      <w:tblPr/>
    </w:tblStylePr>
    <w:tblStylePr w:type="firstRow">
      <w:rPr>
        <w:b/>
        <w:color w:themeColor="accent3" w:themeTint="fe" w:themeShade="95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themeColor="accent3" w:themeTint="fe" w:themeShade="95"/>
      </w:rPr>
      <w:tblPr/>
    </w:tblStylePr>
    <w:tblStylePr w:type="lastRow">
      <w:rPr>
        <w:b/>
        <w:color w:themeColor="accent3" w:themeTint="fe" w:themeShade="95"/>
      </w:rPr>
      <w:tblPr/>
    </w:tblStylePr>
    <w:tblStylePr w:type="wholeTable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FEF2CB" w:themeFill="accent4" w:themeFillTint="34"/>
      </w:tcPr>
    </w:tblStylePr>
    <w:tblStylePr w:type="band1Vert">
      <w:tblPr/>
      <w:tcPr>
        <w:shd w:val="clear" w:color="FFFFFF" w:fill="FEF2CB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rPr>
        <w:b/>
        <w:color w:themeColor="accent4" w:themeTint="9a" w:themeShade="95"/>
      </w:rPr>
      <w:tblPr/>
    </w:tblStylePr>
    <w:tblStylePr w:type="firstRow">
      <w:rPr>
        <w:b/>
        <w:color w:themeColor="accent4" w:themeTint="9a" w:themeShade="95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themeColor="accent4" w:themeTint="9a" w:themeShade="95"/>
      </w:rPr>
      <w:tblPr/>
    </w:tblStylePr>
    <w:tblStylePr w:type="lastRow">
      <w:rPr>
        <w:b/>
        <w:color w:themeColor="accent4" w:themeTint="9a" w:themeShade="95"/>
      </w:rPr>
      <w:tblPr/>
    </w:tblStylePr>
    <w:tblStylePr w:type="wholeTable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D9E2F2" w:themeFill="accent5" w:themeFillTint="34"/>
      </w:tcPr>
    </w:tblStylePr>
    <w:tblStylePr w:type="band1Vert">
      <w:tblPr/>
      <w:tcPr>
        <w:shd w:val="clear" w:color="FFFFFF" w:fill="D9E2F2" w:themeFill="accent5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rPr>
        <w:b/>
        <w:color w:themeColor="accent5" w:themeShade="95"/>
      </w:rPr>
      <w:tblPr/>
    </w:tblStylePr>
    <w:tblStylePr w:type="firstRow">
      <w:rPr>
        <w:b/>
        <w:color w:themeColor="accent5" w:themeShade="95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themeColor="accent5" w:themeShade="95"/>
      </w:rPr>
      <w:tblPr/>
    </w:tblStylePr>
    <w:tblStylePr w:type="lastRow">
      <w:rPr>
        <w:b/>
        <w:color w:themeColor="accent5" w:themeShade="95"/>
      </w:rPr>
      <w:tblPr/>
    </w:tblStylePr>
    <w:tblStylePr w:type="wholeTable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E2EFD8" w:themeFill="accent6" w:themeFillTint="34"/>
      </w:tcPr>
    </w:tblStylePr>
    <w:tblStylePr w:type="band1Vert">
      <w:tblPr/>
      <w:tcPr>
        <w:shd w:val="clear" w:color="FFFFFF" w:fill="E2EFD8" w:themeFill="accent6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rPr>
        <w:b/>
        <w:color w:themeColor="accent5" w:themeShade="95"/>
      </w:rPr>
      <w:tblPr/>
    </w:tblStylePr>
    <w:tblStylePr w:type="firstRow">
      <w:rPr>
        <w:b/>
        <w:color w:themeColor="accent5" w:themeShade="95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themeColor="accent5" w:themeShade="95"/>
      </w:rPr>
      <w:tblPr/>
    </w:tblStylePr>
    <w:tblStylePr w:type="lastRow">
      <w:rPr>
        <w:b/>
        <w:color w:themeColor="accent5" w:themeShade="95"/>
      </w:rPr>
      <w:tblPr/>
    </w:tblStylePr>
    <w:tblStylePr w:type="wholeTable">
      <w:rPr>
        <w:color w:themeColor="accent5" w:themeShade="95"/>
        <w:sz w:val="22"/>
      </w:rPr>
      <w:tblPr/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text1" w:sz="4" w:space="0"/>
        </w:tcBorders>
        <w:shd w:val="clear" w:color="FFFFFF" w:fill="auto"/>
      </w:tcPr>
    </w:tblStylePr>
    <w:tblStylePr w:type="firstRow">
      <w:rPr>
        <w:b/>
        <w:color w:themeColor="text1" w:themeTint="80" w:themeShade="95"/>
        <w:sz w:val="22"/>
      </w:rPr>
      <w:tblPr/>
      <w:tcPr>
        <w:tcBorders>
          <w:top w:val="nil"/>
          <w:left w:val="nil"/>
          <w:bottom w:val="single" w:color="000000" w:themeColor="text1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il"/>
          <w:left w:val="single" w:color="000000" w:themeColor="text1" w:sz="4" w:space="0"/>
          <w:bottom w:val="nil"/>
          <w:right w:val="nil"/>
        </w:tcBorders>
        <w:shd w:val="clear" w:color="FFFFFF" w:fill="auto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il"/>
          <w:bottom w:val="nil"/>
          <w:right w:val="nil"/>
        </w:tcBorders>
        <w:shd w:val="clear" w:color="FFFFFF" w:fill="FFFFFF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themeColor="accent1" w:themeTint="80" w:themeShade="95"/>
        <w:sz w:val="22"/>
      </w:rPr>
      <w:tblPr/>
      <w:tcPr>
        <w:shd w:val="clear" w:color="FFFFFF" w:fill="DDEBF6" w:themeFill="accent1" w:themeFillTint="34"/>
      </w:tcPr>
    </w:tblStylePr>
    <w:tblStylePr w:type="band1Vert">
      <w:tblPr/>
      <w:tcPr>
        <w:shd w:val="clear" w:color="FFFFFF" w:fill="DDEBF6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accent1" w:sz="4" w:space="0"/>
        </w:tcBorders>
        <w:shd w:val="clear" w:color="FFFFFF" w:fill="auto"/>
      </w:tcPr>
    </w:tblStylePr>
    <w:tblStylePr w:type="firstRow">
      <w:rPr>
        <w:b/>
        <w:color w:themeColor="accent1" w:themeTint="80" w:themeShade="95"/>
        <w:sz w:val="22"/>
      </w:rPr>
      <w:tblPr/>
      <w:tcPr>
        <w:tcBorders>
          <w:top w:val="nil"/>
          <w:left w:val="nil"/>
          <w:bottom w:val="single" w:color="000000" w:themeColor="accent1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il"/>
          <w:left w:val="single" w:color="000000" w:themeColor="accent1" w:sz="4" w:space="0"/>
          <w:bottom w:val="nil"/>
          <w:right w:val="nil"/>
        </w:tcBorders>
        <w:shd w:val="clear" w:color="FFFFFF" w:fill="auto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000000" w:themeColor="accent1" w:sz="4" w:space="0"/>
          <w:left w:val="nil"/>
          <w:bottom w:val="nil"/>
          <w:right w:val="nil"/>
        </w:tcBorders>
        <w:shd w:val="clear" w:color="FFFFFF" w:fill="FFFFFF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accent2" w:sz="4" w:space="0"/>
        </w:tcBorders>
        <w:shd w:val="clear" w:color="FFFFFF" w:fill="auto"/>
      </w:tcPr>
    </w:tblStylePr>
    <w:tblStylePr w:type="firstRow">
      <w:rPr>
        <w:b/>
        <w:color w:themeColor="accent2" w:themeTint="97" w:themeShade="95"/>
        <w:sz w:val="22"/>
      </w:rPr>
      <w:tblPr/>
      <w:tcPr>
        <w:tcBorders>
          <w:top w:val="nil"/>
          <w:left w:val="nil"/>
          <w:bottom w:val="single" w:color="000000" w:themeColor="accent2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il"/>
          <w:left w:val="single" w:color="000000" w:themeColor="accent2" w:sz="4" w:space="0"/>
          <w:bottom w:val="nil"/>
          <w:right w:val="nil"/>
        </w:tcBorders>
        <w:shd w:val="clear" w:color="FFFFFF" w:fill="auto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000000" w:themeColor="accent2" w:sz="4" w:space="0"/>
          <w:left w:val="nil"/>
          <w:bottom w:val="nil"/>
          <w:right w:val="nil"/>
        </w:tcBorders>
        <w:shd w:val="clear" w:color="FFFFFF" w:fill="FFFFFF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themeColor="accent3" w:themeTint="fe" w:themeShade="95"/>
        <w:sz w:val="22"/>
      </w:rPr>
      <w:tblPr/>
      <w:tcPr>
        <w:shd w:val="clear" w:color="FFFFFF" w:fill="EDEDED" w:themeFill="accent3" w:themeFillTint="34"/>
      </w:tcPr>
    </w:tblStylePr>
    <w:tblStylePr w:type="band1Vert">
      <w:tblPr/>
      <w:tcPr>
        <w:shd w:val="clear" w:color="FFFFFF" w:fill="EDEDED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accent3" w:sz="4" w:space="0"/>
        </w:tcBorders>
        <w:shd w:val="clear" w:color="FFFFFF" w:fill="auto"/>
      </w:tcPr>
    </w:tblStylePr>
    <w:tblStylePr w:type="firstRow">
      <w:rPr>
        <w:b/>
        <w:color w:themeColor="accent3" w:themeTint="fe" w:themeShade="95"/>
        <w:sz w:val="22"/>
      </w:rPr>
      <w:tblPr/>
      <w:tcPr>
        <w:tcBorders>
          <w:top w:val="nil"/>
          <w:left w:val="nil"/>
          <w:bottom w:val="single" w:color="000000" w:themeColor="accent3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il"/>
          <w:left w:val="single" w:color="000000" w:themeColor="accent3" w:sz="4" w:space="0"/>
          <w:bottom w:val="nil"/>
          <w:right w:val="nil"/>
        </w:tcBorders>
        <w:shd w:val="clear" w:color="FFFFFF" w:fill="auto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000000" w:themeColor="accent3" w:sz="4" w:space="0"/>
          <w:left w:val="nil"/>
          <w:bottom w:val="nil"/>
          <w:right w:val="nil"/>
        </w:tcBorders>
        <w:shd w:val="clear" w:color="FFFFFF" w:fill="FFFFFF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FEF2CB" w:themeFill="accent4" w:themeFillTint="34"/>
      </w:tcPr>
    </w:tblStylePr>
    <w:tblStylePr w:type="band1Vert">
      <w:tblPr/>
      <w:tcPr>
        <w:shd w:val="clear" w:color="FFFFFF" w:fill="FEF2CB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accent4" w:sz="4" w:space="0"/>
        </w:tcBorders>
        <w:shd w:val="clear" w:color="FFFFFF" w:fill="auto"/>
      </w:tcPr>
    </w:tblStylePr>
    <w:tblStylePr w:type="firstRow">
      <w:rPr>
        <w:b/>
        <w:color w:themeColor="accent4" w:themeTint="9a" w:themeShade="95"/>
        <w:sz w:val="22"/>
      </w:rPr>
      <w:tblPr/>
      <w:tcPr>
        <w:tcBorders>
          <w:top w:val="nil"/>
          <w:left w:val="nil"/>
          <w:bottom w:val="single" w:color="000000" w:themeColor="accent4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il"/>
          <w:left w:val="single" w:color="000000" w:themeColor="accent4" w:sz="4" w:space="0"/>
          <w:bottom w:val="nil"/>
          <w:right w:val="nil"/>
        </w:tcBorders>
        <w:shd w:val="clear" w:color="FFFFFF" w:fill="auto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000000" w:themeColor="accent4" w:sz="4" w:space="0"/>
          <w:left w:val="nil"/>
          <w:bottom w:val="nil"/>
          <w:right w:val="nil"/>
        </w:tcBorders>
        <w:shd w:val="clear" w:color="FFFFFF" w:fill="FFFFFF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D9E2F2" w:themeFill="accent5" w:themeFillTint="34"/>
      </w:tcPr>
    </w:tblStylePr>
    <w:tblStylePr w:type="band1Vert">
      <w:tblPr/>
      <w:tcPr>
        <w:shd w:val="clear" w:color="FFFFFF" w:fill="D9E2F2" w:themeFill="accent5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accent5" w:sz="4" w:space="0"/>
        </w:tcBorders>
        <w:shd w:val="clear" w:color="FFFFFF" w:fill="auto"/>
      </w:tcPr>
    </w:tblStylePr>
    <w:tblStylePr w:type="firstRow">
      <w:rPr>
        <w:b/>
        <w:color w:themeColor="accent5" w:themeShade="95"/>
        <w:sz w:val="22"/>
      </w:rPr>
      <w:tblPr/>
      <w:tcPr>
        <w:tcBorders>
          <w:top w:val="nil"/>
          <w:left w:val="nil"/>
          <w:bottom w:val="single" w:color="000000" w:themeColor="accent5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il"/>
          <w:left w:val="single" w:color="000000" w:themeColor="accent5" w:sz="4" w:space="0"/>
          <w:bottom w:val="nil"/>
          <w:right w:val="nil"/>
        </w:tcBorders>
        <w:shd w:val="clear" w:color="FFFFFF" w:fill="auto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000000" w:themeColor="accent5" w:sz="4" w:space="0"/>
          <w:left w:val="nil"/>
          <w:bottom w:val="nil"/>
          <w:right w:val="nil"/>
        </w:tcBorders>
        <w:shd w:val="clear" w:color="FFFFFF" w:fill="FFFFFF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themeColor="accent6" w:themeShade="95"/>
        <w:sz w:val="22"/>
      </w:rPr>
      <w:tblPr/>
      <w:tcPr>
        <w:shd w:val="clear" w:color="FFFFFF" w:fill="E2EFD8" w:themeFill="accent6" w:themeFillTint="34"/>
      </w:tcPr>
    </w:tblStylePr>
    <w:tblStylePr w:type="band1Vert">
      <w:tblPr/>
      <w:tcPr>
        <w:shd w:val="clear" w:color="FFFFFF" w:fill="E2EFD8" w:themeFill="accent6" w:themeFillTint="34"/>
      </w:tcPr>
    </w:tblStylePr>
    <w:tblStylePr w:type="band2Horz">
      <w:rPr>
        <w:color w:themeColor="accent6" w:themeShade="95"/>
        <w:sz w:val="22"/>
      </w:rPr>
      <w:tblPr/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accent6" w:sz="4" w:space="0"/>
        </w:tcBorders>
        <w:shd w:val="clear" w:color="FFFFFF" w:fill="auto"/>
      </w:tcPr>
    </w:tblStylePr>
    <w:tblStylePr w:type="firstRow">
      <w:rPr>
        <w:b/>
        <w:color w:themeColor="accent6" w:themeShade="95"/>
        <w:sz w:val="22"/>
      </w:rPr>
      <w:tblPr/>
      <w:tcPr>
        <w:tcBorders>
          <w:top w:val="nil"/>
          <w:left w:val="nil"/>
          <w:bottom w:val="single" w:color="000000" w:themeColor="accent6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il"/>
          <w:left w:val="single" w:color="000000" w:themeColor="accent6" w:sz="4" w:space="0"/>
          <w:bottom w:val="nil"/>
          <w:right w:val="nil"/>
        </w:tcBorders>
        <w:shd w:val="clear" w:color="FFFFFF" w:fill="auto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000000" w:themeColor="accent6" w:sz="4" w:space="0"/>
          <w:left w:val="nil"/>
          <w:bottom w:val="nil"/>
          <w:right w:val="nil"/>
        </w:tcBorders>
        <w:shd w:val="clear" w:color="FFFFFF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accent1" w:sz="4" w:space="0"/>
          <w:right w:val="nil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accent2" w:sz="4" w:space="0"/>
          <w:right w:val="nil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accent3" w:sz="4" w:space="0"/>
          <w:right w:val="nil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accent4" w:sz="4" w:space="0"/>
          <w:right w:val="nil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accent5" w:sz="4" w:space="0"/>
          <w:right w:val="nil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il"/>
          <w:left w:val="nil"/>
          <w:bottom w:val="single" w:color="000000" w:themeColor="accent6" w:sz="4" w:space="0"/>
          <w:right w:val="nil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nil"/>
          <w:bottom w:val="single" w:color="000000" w:themeColor="text1" w:sz="4" w:space="0"/>
          <w:right w:val="nil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text1" w:sz="4" w:space="0"/>
          <w:left w:val="nil"/>
          <w:bottom w:val="single" w:color="000000" w:themeColor="text1" w:sz="4" w:space="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5E6F4" w:themeFill="accent1" w:themeFillTint="40"/>
      </w:tcPr>
    </w:tblStylePr>
    <w:tblStylePr w:type="band1Vert">
      <w:rPr>
        <w:sz w:val="22"/>
      </w:rPr>
      <w:tblPr/>
      <w:tcPr>
        <w:shd w:val="clear" w:color="FFFFFF" w:fill="D5E6F4" w:themeFill="accen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nil"/>
          <w:bottom w:val="single" w:color="000000" w:themeColor="accent1" w:sz="4" w:space="0"/>
          <w:right w:val="nil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1" w:sz="4" w:space="0"/>
          <w:left w:val="nil"/>
          <w:bottom w:val="single" w:color="000000" w:themeColor="accent1" w:sz="4" w:space="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ADECB" w:themeFill="accent2" w:themeFillTint="40"/>
      </w:tc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nil"/>
          <w:bottom w:val="single" w:color="000000" w:themeColor="accent2" w:sz="4" w:space="0"/>
          <w:right w:val="nil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2" w:sz="4" w:space="0"/>
          <w:left w:val="nil"/>
          <w:bottom w:val="single" w:color="000000" w:themeColor="accent2" w:sz="4" w:space="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8E8E8" w:themeFill="accent3" w:themeFillTint="40"/>
      </w:tc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nil"/>
          <w:bottom w:val="single" w:color="000000" w:themeColor="accent3" w:sz="4" w:space="0"/>
          <w:right w:val="nil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3" w:sz="4" w:space="0"/>
          <w:left w:val="nil"/>
          <w:bottom w:val="single" w:color="000000" w:themeColor="accent3" w:sz="4" w:space="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FFEFBF" w:themeFill="accent4" w:themeFillTint="40"/>
      </w:tc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nil"/>
          <w:bottom w:val="single" w:color="000000" w:themeColor="accent4" w:sz="4" w:space="0"/>
          <w:right w:val="nil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4" w:sz="4" w:space="0"/>
          <w:left w:val="nil"/>
          <w:bottom w:val="single" w:color="000000" w:themeColor="accent4" w:sz="4" w:space="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CFDCF0" w:themeFill="accent5" w:themeFillTint="40"/>
      </w:tcPr>
    </w:tblStylePr>
    <w:tblStylePr w:type="band1Vert">
      <w:rPr>
        <w:sz w:val="22"/>
      </w:rPr>
      <w:tblPr/>
      <w:tcPr>
        <w:shd w:val="clear" w:color="FFFFFF" w:fill="CFDCF0" w:themeFill="accent5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nil"/>
          <w:bottom w:val="single" w:color="000000" w:themeColor="accent5" w:sz="4" w:space="0"/>
          <w:right w:val="nil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5" w:sz="4" w:space="0"/>
          <w:left w:val="nil"/>
          <w:bottom w:val="single" w:color="000000" w:themeColor="accent5" w:sz="4" w:space="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DBEBD0" w:themeFill="accent6" w:themeFillTint="40"/>
      </w:tcPr>
    </w:tblStylePr>
    <w:tblStylePr w:type="band1Vert">
      <w:rPr>
        <w:sz w:val="22"/>
      </w:rPr>
      <w:tblPr/>
      <w:tcPr>
        <w:shd w:val="clear" w:color="FFFFFF" w:fill="DBEBD0" w:themeFill="accent6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nil"/>
          <w:bottom w:val="single" w:color="000000" w:themeColor="accent6" w:sz="4" w:space="0"/>
          <w:right w:val="nil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6" w:sz="4" w:space="0"/>
          <w:left w:val="nil"/>
          <w:bottom w:val="single" w:color="000000" w:themeColor="accent6" w:sz="4" w:space="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C9C9C9" w:themeFill="accent3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8EABDB" w:themeFill="accent5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AAD08F" w:themeFill="accent6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5E6F4" w:themeFill="accent1" w:themeFillTint="40"/>
      </w:tcPr>
    </w:tblStylePr>
    <w:tblStylePr w:type="band1Vert">
      <w:rPr>
        <w:sz w:val="22"/>
      </w:rPr>
      <w:tblPr/>
      <w:tcPr>
        <w:shd w:val="clear" w:color="FFFFFF" w:fill="D5E6F4" w:themeFill="accen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ADECB" w:themeFill="accent2" w:themeFillTint="40"/>
      </w:tc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8E8E8" w:themeFill="accent3" w:themeFillTint="40"/>
      </w:tc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FFEFBF" w:themeFill="accent4" w:themeFillTint="40"/>
      </w:tc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CFDCF0" w:themeFill="accent5" w:themeFillTint="40"/>
      </w:tcPr>
    </w:tblStylePr>
    <w:tblStylePr w:type="band1Vert">
      <w:rPr>
        <w:sz w:val="22"/>
      </w:rPr>
      <w:tblPr/>
      <w:tcPr>
        <w:shd w:val="clear" w:color="FFFFFF" w:fill="CFDCF0" w:themeFill="accent5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DBEBD0" w:themeFill="accent6" w:themeFillTint="40"/>
      </w:tcPr>
    </w:tblStylePr>
    <w:tblStylePr w:type="band1Vert">
      <w:rPr>
        <w:sz w:val="22"/>
      </w:rPr>
      <w:tblPr/>
      <w:tcPr>
        <w:shd w:val="clear" w:color="FFFFFF" w:fill="DBEBD0" w:themeFill="accent6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text1" w:sz="32" w:space="0"/>
          <w:bottom w:val="single" w:color="000000" w:themeColor="light1" w:sz="12" w:space="0"/>
        </w:tcBorders>
        <w:shd w:val="clear" w:color="FFFFFF" w:fill="7F7F7F" w:themeFill="text1" w:themeFillTint="80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5B9BD5" w:themeFill="accent1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5B9BD5" w:themeFill="accent1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5B9BD5" w:themeFill="accent1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fill="5B9BD5" w:themeFill="accent1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4B185" w:themeFill="accent2" w:themeFillTint="97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4B185" w:themeFill="accent2" w:themeFillTint="97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4B185" w:themeFill="accent2" w:themeFillTint="97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2" w:sz="32" w:space="0"/>
          <w:bottom w:val="single" w:color="000000" w:themeColor="light1" w:sz="12" w:space="0"/>
        </w:tcBorders>
        <w:shd w:val="clear" w:color="FFFFFF" w:fill="F4B185" w:themeFill="accent2" w:themeFillTint="97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9C9C9" w:themeFill="accent3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3" w:sz="32" w:space="0"/>
          <w:bottom w:val="single" w:color="000000" w:themeColor="light1" w:sz="12" w:space="0"/>
        </w:tcBorders>
        <w:shd w:val="clear" w:color="FFFFFF" w:fill="C9C9C9" w:themeFill="accent3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D864" w:themeFill="accent4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D864" w:themeFill="accent4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D864" w:themeFill="accent4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4" w:sz="32" w:space="0"/>
          <w:bottom w:val="single" w:color="000000" w:themeColor="light1" w:sz="12" w:space="0"/>
        </w:tcBorders>
        <w:shd w:val="clear" w:color="FFFFFF" w:fill="FFD864" w:themeFill="accent4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8EABDB" w:themeFill="accent5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8EABDB" w:themeFill="accent5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8EABDB" w:themeFill="accent5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5" w:sz="32" w:space="0"/>
          <w:bottom w:val="single" w:color="000000" w:themeColor="light1" w:sz="12" w:space="0"/>
        </w:tcBorders>
        <w:shd w:val="clear" w:color="FFFFFF" w:fill="8EABDB" w:themeFill="accent5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AAD08F" w:themeFill="accent6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AAD08F" w:themeFill="accent6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AAD08F" w:themeFill="accent6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6" w:sz="32" w:space="0"/>
          <w:bottom w:val="single" w:color="000000" w:themeColor="light1" w:sz="12" w:space="0"/>
        </w:tcBorders>
        <w:shd w:val="clear" w:color="FFFFFF" w:fill="AAD08F" w:themeFill="accent6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themeColor="text1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themeColor="text1"/>
        <w:sz w:val="22"/>
      </w:rPr>
      <w:tblPr/>
    </w:tblStylePr>
    <w:tblStylePr w:type="firstCol">
      <w:rPr>
        <w:b/>
        <w:color w:themeColor="text1"/>
      </w:rPr>
      <w:tblPr/>
    </w:tblStylePr>
    <w:tblStylePr w:type="firstRow">
      <w:rPr>
        <w:b/>
        <w:color w:themeColor="text1"/>
      </w:rPr>
      <w:tblPr/>
      <w:tcPr>
        <w:tcBorders>
          <w:bottom w:val="single" w:color="000000" w:themeColor="text1" w:sz="4" w:space="0"/>
        </w:tcBorders>
      </w:tcPr>
    </w:tblStylePr>
    <w:tblStylePr w:type="lastCol">
      <w:rPr>
        <w:b/>
        <w:color w:themeColor="text1"/>
      </w:rPr>
      <w:tblPr/>
    </w:tblStylePr>
    <w:tblStylePr w:type="lastRow">
      <w:rPr>
        <w:b/>
        <w:color w:themeColor="text1"/>
      </w:rPr>
      <w:tblPr/>
      <w:tcPr>
        <w:tcBorders>
          <w:top w:val="single" w:color="000000" w:themeColor="text1" w:sz="4" w:space="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themeColor="accent1" w:themeShade="95"/>
        <w:sz w:val="22"/>
      </w:rPr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band2Horz">
      <w:rPr>
        <w:color w:themeColor="accent1" w:themeShade="95"/>
        <w:sz w:val="22"/>
      </w:rPr>
      <w:tblPr/>
    </w:tblStylePr>
    <w:tblStylePr w:type="firstCol">
      <w:rPr>
        <w:b/>
        <w:color w:themeColor="accent1" w:themeShade="95"/>
      </w:rPr>
      <w:tblPr/>
    </w:tblStylePr>
    <w:tblStylePr w:type="firstRow">
      <w:rPr>
        <w:b/>
        <w:color w:themeColor="accent1" w:themeShade="95"/>
      </w:rPr>
      <w:tblPr/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themeColor="accent1" w:themeShade="95"/>
      </w:rPr>
      <w:tblPr/>
    </w:tblStylePr>
    <w:tblStylePr w:type="lastRow">
      <w:rPr>
        <w:b/>
        <w:color w:themeColor="accent1" w:themeShade="95"/>
      </w:rPr>
      <w:tblPr/>
      <w:tcPr>
        <w:tcBorders>
          <w:top w:val="single" w:color="000000" w:themeColor="accent1" w:sz="4" w:space="0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rPr>
        <w:b/>
        <w:color w:themeColor="accent2" w:themeTint="97" w:themeShade="95"/>
      </w:rPr>
      <w:tblPr/>
    </w:tblStylePr>
    <w:tblStylePr w:type="firstRow">
      <w:rPr>
        <w:b/>
        <w:color w:themeColor="accent2" w:themeTint="97" w:themeShade="95"/>
      </w:rPr>
      <w:tblPr/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themeColor="accent2" w:themeTint="97" w:themeShade="95"/>
      </w:rPr>
      <w:tblPr/>
    </w:tblStylePr>
    <w:tblStylePr w:type="lastRow">
      <w:rPr>
        <w:b/>
        <w:color w:themeColor="accent2" w:themeTint="97" w:themeShade="95"/>
      </w:rPr>
      <w:tblPr/>
      <w:tcPr>
        <w:tcBorders>
          <w:top w:val="single" w:color="000000" w:themeColor="accent2" w:sz="4" w:space="0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  <w:tblStylePr w:type="firstCol">
      <w:rPr>
        <w:b/>
        <w:color w:themeColor="accent3" w:themeTint="98" w:themeShade="95"/>
      </w:rPr>
      <w:tblPr/>
    </w:tblStylePr>
    <w:tblStylePr w:type="firstRow">
      <w:rPr>
        <w:b/>
        <w:color w:themeColor="accent3" w:themeTint="98" w:themeShade="95"/>
      </w:rPr>
      <w:tblPr/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themeColor="accent3" w:themeTint="98" w:themeShade="95"/>
      </w:rPr>
      <w:tblPr/>
    </w:tblStylePr>
    <w:tblStylePr w:type="lastRow">
      <w:rPr>
        <w:b/>
        <w:color w:themeColor="accent3" w:themeTint="98" w:themeShade="95"/>
      </w:rPr>
      <w:tblPr/>
      <w:tcPr>
        <w:tcBorders>
          <w:top w:val="single" w:color="000000" w:themeColor="accent3" w:sz="4" w:space="0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rPr>
        <w:b/>
        <w:color w:themeColor="accent4" w:themeTint="9a" w:themeShade="95"/>
      </w:rPr>
      <w:tblPr/>
    </w:tblStylePr>
    <w:tblStylePr w:type="firstRow">
      <w:rPr>
        <w:b/>
        <w:color w:themeColor="accent4" w:themeTint="9a" w:themeShade="95"/>
      </w:rPr>
      <w:tblPr/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themeColor="accent4" w:themeTint="9a" w:themeShade="95"/>
      </w:rPr>
      <w:tblPr/>
    </w:tblStylePr>
    <w:tblStylePr w:type="lastRow">
      <w:rPr>
        <w:b/>
        <w:color w:themeColor="accent4" w:themeTint="9a" w:themeShade="95"/>
      </w:rPr>
      <w:tblPr/>
      <w:tcPr>
        <w:tcBorders>
          <w:top w:val="single" w:color="000000" w:themeColor="accent4" w:sz="4" w:space="0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themeColor="accent5" w:themeTint="9a" w:themeShade="95"/>
        <w:sz w:val="22"/>
      </w:rPr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  <w:tblStylePr w:type="firstCol">
      <w:rPr>
        <w:b/>
        <w:color w:themeColor="accent5" w:themeTint="9a" w:themeShade="95"/>
      </w:rPr>
      <w:tblPr/>
    </w:tblStylePr>
    <w:tblStylePr w:type="firstRow">
      <w:rPr>
        <w:b/>
        <w:color w:themeColor="accent5" w:themeTint="9a" w:themeShade="95"/>
      </w:rPr>
      <w:tblPr/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themeColor="accent5" w:themeTint="9a" w:themeShade="95"/>
      </w:rPr>
      <w:tblPr/>
    </w:tblStylePr>
    <w:tblStylePr w:type="lastRow">
      <w:rPr>
        <w:b/>
        <w:color w:themeColor="accent5" w:themeTint="9a" w:themeShade="95"/>
      </w:rPr>
      <w:tblPr/>
      <w:tcPr>
        <w:tcBorders>
          <w:top w:val="single" w:color="000000" w:themeColor="accent5" w:sz="4" w:space="0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themeColor="accent6" w:themeTint="98" w:themeShade="95"/>
        <w:sz w:val="22"/>
      </w:rPr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  <w:tblStylePr w:type="firstCol">
      <w:rPr>
        <w:b/>
        <w:color w:themeColor="accent6" w:themeTint="98" w:themeShade="95"/>
      </w:rPr>
      <w:tblPr/>
    </w:tblStylePr>
    <w:tblStylePr w:type="firstRow">
      <w:rPr>
        <w:b/>
        <w:color w:themeColor="accent6" w:themeTint="98" w:themeShade="95"/>
      </w:rPr>
      <w:tblPr/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themeColor="accent6" w:themeTint="98" w:themeShade="95"/>
      </w:rPr>
      <w:tblPr/>
    </w:tblStylePr>
    <w:tblStylePr w:type="lastRow">
      <w:rPr>
        <w:b/>
        <w:color w:themeColor="accent6" w:themeTint="98" w:themeShade="95"/>
      </w:rPr>
      <w:tblPr/>
      <w:tcPr>
        <w:tcBorders>
          <w:top w:val="single" w:color="000000" w:themeColor="accent6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text1" w:sz="4" w:space="0"/>
        </w:tcBorders>
        <w:shd w:val="clear" w:color="FFFFFF" w:fill="auto"/>
      </w:tcPr>
    </w:tblStylePr>
    <w:tblStylePr w:type="firstRow">
      <w:rPr>
        <w:i/>
        <w:color w:themeColor="text1" w:themeTint="80" w:themeShade="95"/>
        <w:sz w:val="22"/>
      </w:rPr>
      <w:tblPr/>
      <w:tcPr>
        <w:tcBorders>
          <w:top w:val="nil"/>
          <w:left w:val="nil"/>
          <w:bottom w:val="single" w:color="000000" w:themeColor="text1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il"/>
          <w:left w:val="single" w:color="000000" w:themeColor="text1" w:sz="4" w:space="0"/>
          <w:bottom w:val="nil"/>
          <w:right w:val="nil"/>
        </w:tcBorders>
        <w:shd w:val="clear" w:color="FFFFFF" w:fill="auto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wholeTable">
      <w:rPr>
        <w:color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1" w:sz="4" w:space="0"/>
      </w:tblBorders>
    </w:tblPr>
    <w:tblStylePr w:type="band1Horz">
      <w:rPr>
        <w:color w:themeColor="accent1" w:themeShade="95"/>
        <w:sz w:val="22"/>
      </w:rPr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band2Horz">
      <w:rPr>
        <w:color w:themeColor="accent1" w:themeShade="95"/>
        <w:sz w:val="22"/>
      </w:rPr>
      <w:tblPr/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accent1" w:sz="4" w:space="0"/>
        </w:tcBorders>
        <w:shd w:val="clear" w:color="FFFFFF" w:fill="auto"/>
      </w:tcPr>
    </w:tblStylePr>
    <w:tblStylePr w:type="firstRow">
      <w:rPr>
        <w:i/>
        <w:color w:themeColor="accent1" w:themeShade="95"/>
        <w:sz w:val="22"/>
      </w:rPr>
      <w:tblPr/>
      <w:tcPr>
        <w:tcBorders>
          <w:top w:val="nil"/>
          <w:left w:val="nil"/>
          <w:bottom w:val="single" w:color="000000" w:themeColor="accent1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il"/>
          <w:left w:val="single" w:color="000000" w:themeColor="accent1" w:sz="4" w:space="0"/>
          <w:bottom w:val="nil"/>
          <w:right w:val="nil"/>
        </w:tcBorders>
        <w:shd w:val="clear" w:color="FFFFFF" w:fill="auto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000000" w:themeColor="accent1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wholeTable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accent2" w:sz="4" w:space="0"/>
        </w:tcBorders>
        <w:shd w:val="clear" w:color="FFFFFF" w:fill="auto"/>
      </w:tcPr>
    </w:tblStylePr>
    <w:tblStylePr w:type="firstRow">
      <w:rPr>
        <w:i/>
        <w:color w:themeColor="accent2" w:themeTint="97" w:themeShade="95"/>
        <w:sz w:val="22"/>
      </w:rPr>
      <w:tblPr/>
      <w:tcPr>
        <w:tcBorders>
          <w:top w:val="nil"/>
          <w:left w:val="nil"/>
          <w:bottom w:val="single" w:color="000000" w:themeColor="accent2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il"/>
          <w:left w:val="single" w:color="000000" w:themeColor="accent2" w:sz="4" w:space="0"/>
          <w:bottom w:val="nil"/>
          <w:right w:val="nil"/>
        </w:tcBorders>
        <w:shd w:val="clear" w:color="FFFFFF" w:fill="auto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000000" w:themeColor="accent2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wholeTable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blStylePr w:type="band1Horz">
      <w:rPr>
        <w:color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accent3" w:sz="4" w:space="0"/>
        </w:tcBorders>
        <w:shd w:val="clear" w:color="FFFFFF" w:fill="auto"/>
      </w:tcPr>
    </w:tblStylePr>
    <w:tblStylePr w:type="firstRow">
      <w:rPr>
        <w:i/>
        <w:color w:themeColor="accent3" w:themeTint="98" w:themeShade="95"/>
        <w:sz w:val="22"/>
      </w:rPr>
      <w:tblPr/>
      <w:tcPr>
        <w:tcBorders>
          <w:top w:val="nil"/>
          <w:left w:val="nil"/>
          <w:bottom w:val="single" w:color="000000" w:themeColor="accent3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il"/>
          <w:left w:val="single" w:color="000000" w:themeColor="accent3" w:sz="4" w:space="0"/>
          <w:bottom w:val="nil"/>
          <w:right w:val="nil"/>
        </w:tcBorders>
        <w:shd w:val="clear" w:color="FFFFFF" w:fill="auto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000000" w:themeColor="accent3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wholeTable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accent4" w:sz="4" w:space="0"/>
        </w:tcBorders>
        <w:shd w:val="clear" w:color="FFFFFF" w:fill="auto"/>
      </w:tcPr>
    </w:tblStylePr>
    <w:tblStylePr w:type="firstRow">
      <w:rPr>
        <w:i/>
        <w:color w:themeColor="accent4" w:themeTint="9a" w:themeShade="95"/>
        <w:sz w:val="22"/>
      </w:rPr>
      <w:tblPr/>
      <w:tcPr>
        <w:tcBorders>
          <w:top w:val="nil"/>
          <w:left w:val="nil"/>
          <w:bottom w:val="single" w:color="000000" w:themeColor="accent4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il"/>
          <w:left w:val="single" w:color="000000" w:themeColor="accent4" w:sz="4" w:space="0"/>
          <w:bottom w:val="nil"/>
          <w:right w:val="nil"/>
        </w:tcBorders>
        <w:shd w:val="clear" w:color="FFFFFF" w:fill="auto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000000" w:themeColor="accent4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wholeTable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blStylePr w:type="band1Horz">
      <w:rPr>
        <w:color w:themeColor="accent5" w:themeTint="9a" w:themeShade="95"/>
        <w:sz w:val="22"/>
      </w:rPr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accent5" w:sz="4" w:space="0"/>
        </w:tcBorders>
        <w:shd w:val="clear" w:color="FFFFFF" w:fill="auto"/>
      </w:tcPr>
    </w:tblStylePr>
    <w:tblStylePr w:type="firstRow">
      <w:rPr>
        <w:i/>
        <w:color w:themeColor="accent5" w:themeTint="9a" w:themeShade="95"/>
        <w:sz w:val="22"/>
      </w:rPr>
      <w:tblPr/>
      <w:tcPr>
        <w:tcBorders>
          <w:top w:val="nil"/>
          <w:left w:val="nil"/>
          <w:bottom w:val="single" w:color="000000" w:themeColor="accent5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il"/>
          <w:left w:val="single" w:color="000000" w:themeColor="accent5" w:sz="4" w:space="0"/>
          <w:bottom w:val="nil"/>
          <w:right w:val="nil"/>
        </w:tcBorders>
        <w:shd w:val="clear" w:color="FFFFFF" w:fill="auto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000000" w:themeColor="accent5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wholeTable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blStylePr w:type="band1Horz">
      <w:rPr>
        <w:color w:themeColor="accent6" w:themeTint="98" w:themeShade="95"/>
        <w:sz w:val="22"/>
      </w:rPr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color="000000" w:themeColor="accent6" w:sz="4" w:space="0"/>
        </w:tcBorders>
        <w:shd w:val="clear" w:color="FFFFFF" w:fill="auto"/>
      </w:tcPr>
    </w:tblStylePr>
    <w:tblStylePr w:type="firstRow">
      <w:rPr>
        <w:i/>
        <w:color w:themeColor="accent6" w:themeTint="98" w:themeShade="95"/>
        <w:sz w:val="22"/>
      </w:rPr>
      <w:tblPr/>
      <w:tcPr>
        <w:tcBorders>
          <w:top w:val="nil"/>
          <w:left w:val="nil"/>
          <w:bottom w:val="single" w:color="000000" w:themeColor="accent6" w:sz="4" w:space="0"/>
          <w:right w:val="nil"/>
        </w:tcBorders>
        <w:shd w:val="clear" w:color="FFFFFF" w:fill="FFFFFF" w:themeFill="light1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il"/>
          <w:left w:val="single" w:color="000000" w:themeColor="accent6" w:sz="4" w:space="0"/>
          <w:bottom w:val="nil"/>
          <w:right w:val="nil"/>
        </w:tcBorders>
        <w:shd w:val="clear" w:color="FFFFFF" w:fill="auto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000000" w:themeColor="accent6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wholeTable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CE0F1" w:themeFill="accent1" w:themeFillTint="50"/>
      </w:tcPr>
    </w:tblStylePr>
    <w:tblStylePr w:type="band2Vert">
      <w:rPr>
        <w:sz w:val="22"/>
      </w:rPr>
      <w:tblPr/>
      <w:tcPr>
        <w:shd w:val="clear" w:color="FFFFFF" w:fill="CCE0F1" w:themeFill="accent1" w:themeFillTint="50"/>
      </w:tcPr>
    </w:tblStylePr>
    <w:tblStylePr w:type="firstCol">
      <w:rPr>
        <w:sz w:val="22"/>
      </w:rPr>
      <w:tblPr/>
      <w:tcPr>
        <w:shd w:val="clear" w:color="FFFFFF" w:fill="67A4D8" w:themeFill="accent1" w:themeFillTint="ea"/>
      </w:tcPr>
    </w:tblStylePr>
    <w:tblStylePr w:type="firstRow">
      <w:rPr>
        <w:sz w:val="22"/>
      </w:rPr>
      <w:tblPr/>
      <w:tcPr>
        <w:shd w:val="clear" w:color="FFFFFF" w:fill="67A4D8" w:themeFill="accent1" w:themeFillTint="ea"/>
      </w:tcPr>
    </w:tblStylePr>
    <w:tblStylePr w:type="lastCol">
      <w:rPr>
        <w:sz w:val="22"/>
      </w:rPr>
      <w:tblPr/>
      <w:tcPr>
        <w:shd w:val="clear" w:color="FFFFFF" w:fill="67A4D8" w:themeFill="accent1" w:themeFillTint="ea"/>
      </w:tcPr>
    </w:tblStylePr>
    <w:tblStylePr w:type="lastRow">
      <w:rPr>
        <w:sz w:val="22"/>
      </w:rPr>
      <w:tblPr/>
      <w:tcPr>
        <w:shd w:val="clear" w:color="FFFFFF" w:fill="67A4D8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sz w:val="22"/>
      </w:rPr>
      <w:tblPr/>
      <w:tcPr>
        <w:shd w:val="clear" w:color="FFFFFF" w:fill="F4B185" w:themeFill="accent2" w:themeFillTint="97"/>
      </w:tcPr>
    </w:tblStylePr>
    <w:tblStylePr w:type="firstRow">
      <w:rPr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sz w:val="22"/>
      </w:rPr>
      <w:tblPr/>
      <w:tcPr>
        <w:shd w:val="clear" w:color="FFFFFF" w:fill="F4B185" w:themeFill="accent2" w:themeFillTint="97"/>
      </w:tcPr>
    </w:tblStylePr>
    <w:tblStylePr w:type="lastRow">
      <w:rPr>
        <w:sz w:val="22"/>
      </w:rPr>
      <w:tblPr/>
      <w:tcPr>
        <w:shd w:val="clear" w:color="FFFFFF" w:fill="F4B185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DEDED" w:themeFill="accent3" w:themeFillTint="34"/>
      </w:tcPr>
    </w:tblStylePr>
    <w:tblStylePr w:type="band2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EF2CB" w:themeFill="accent4" w:themeFillTint="34"/>
      </w:tcPr>
    </w:tblStylePr>
    <w:tblStylePr w:type="band2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sz w:val="22"/>
      </w:rPr>
      <w:tblPr/>
      <w:tcPr>
        <w:shd w:val="clear" w:color="FFFFFF" w:fill="FFD864" w:themeFill="accent4" w:themeFillTint="9a"/>
      </w:tcPr>
    </w:tblStylePr>
    <w:tblStylePr w:type="firstRow">
      <w:rPr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sz w:val="22"/>
      </w:rPr>
      <w:tblPr/>
      <w:tcPr>
        <w:shd w:val="clear" w:color="FFFFFF" w:fill="FFD864" w:themeFill="accent4" w:themeFillTint="9a"/>
      </w:tcPr>
    </w:tblStylePr>
    <w:tblStylePr w:type="lastRow">
      <w:rPr>
        <w:sz w:val="22"/>
      </w:rPr>
      <w:tblPr/>
      <w:tcPr>
        <w:shd w:val="clear" w:color="FFFFFF" w:fill="FFD864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9E2F2" w:themeFill="accent5" w:themeFillTint="34"/>
      </w:tcPr>
    </w:tblStylePr>
    <w:tblStylePr w:type="band2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2EFD8" w:themeFill="accent6" w:themeFillTint="34"/>
      </w:tcPr>
    </w:tblStylePr>
    <w:tblStylePr w:type="band2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CE0F1" w:themeFill="accent1" w:themeFillTint="50"/>
      </w:tcPr>
    </w:tblStylePr>
    <w:tblStylePr w:type="band2Vert">
      <w:rPr>
        <w:sz w:val="22"/>
      </w:rPr>
      <w:tblPr/>
      <w:tcPr>
        <w:shd w:val="clear" w:color="FFFFFF" w:fill="CCE0F1" w:themeFill="accent1" w:themeFillTint="50"/>
      </w:tcPr>
    </w:tblStylePr>
    <w:tblStylePr w:type="firstCol">
      <w:rPr>
        <w:sz w:val="22"/>
      </w:rPr>
      <w:tblPr/>
      <w:tcPr>
        <w:shd w:val="clear" w:color="FFFFFF" w:fill="67A4D8" w:themeFill="accent1" w:themeFillTint="ea"/>
      </w:tcPr>
    </w:tblStylePr>
    <w:tblStylePr w:type="firstRow">
      <w:rPr>
        <w:sz w:val="22"/>
      </w:rPr>
      <w:tblPr/>
      <w:tcPr>
        <w:shd w:val="clear" w:color="FFFFFF" w:fill="67A4D8" w:themeFill="accent1" w:themeFillTint="ea"/>
      </w:tcPr>
    </w:tblStylePr>
    <w:tblStylePr w:type="lastCol">
      <w:rPr>
        <w:sz w:val="22"/>
      </w:rPr>
      <w:tblPr/>
      <w:tcPr>
        <w:shd w:val="clear" w:color="FFFFFF" w:fill="67A4D8" w:themeFill="accent1" w:themeFillTint="ea"/>
      </w:tcPr>
    </w:tblStylePr>
    <w:tblStylePr w:type="lastRow">
      <w:rPr>
        <w:sz w:val="22"/>
      </w:rPr>
      <w:tblPr/>
      <w:tcPr>
        <w:shd w:val="clear" w:color="FFFFFF" w:fill="67A4D8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sz w:val="22"/>
      </w:rPr>
      <w:tblPr/>
      <w:tcPr>
        <w:shd w:val="clear" w:color="FFFFFF" w:fill="F4B185" w:themeFill="accent2" w:themeFillTint="97"/>
      </w:tcPr>
    </w:tblStylePr>
    <w:tblStylePr w:type="firstRow">
      <w:rPr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sz w:val="22"/>
      </w:rPr>
      <w:tblPr/>
      <w:tcPr>
        <w:shd w:val="clear" w:color="FFFFFF" w:fill="F4B185" w:themeFill="accent2" w:themeFillTint="97"/>
      </w:tcPr>
    </w:tblStylePr>
    <w:tblStylePr w:type="lastRow">
      <w:rPr>
        <w:sz w:val="22"/>
      </w:rPr>
      <w:tblPr/>
      <w:tcPr>
        <w:shd w:val="clear" w:color="FFFFFF" w:fill="F4B185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DEDED" w:themeFill="accent3" w:themeFillTint="34"/>
      </w:tcPr>
    </w:tblStylePr>
    <w:tblStylePr w:type="band2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EF2CB" w:themeFill="accent4" w:themeFillTint="34"/>
      </w:tcPr>
    </w:tblStylePr>
    <w:tblStylePr w:type="band2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sz w:val="22"/>
      </w:rPr>
      <w:tblPr/>
      <w:tcPr>
        <w:shd w:val="clear" w:color="FFFFFF" w:fill="FFD864" w:themeFill="accent4" w:themeFillTint="9a"/>
      </w:tcPr>
    </w:tblStylePr>
    <w:tblStylePr w:type="firstRow">
      <w:rPr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sz w:val="22"/>
      </w:rPr>
      <w:tblPr/>
      <w:tcPr>
        <w:shd w:val="clear" w:color="FFFFFF" w:fill="FFD864" w:themeFill="accent4" w:themeFillTint="9a"/>
      </w:tcPr>
    </w:tblStylePr>
    <w:tblStylePr w:type="lastRow">
      <w:rPr>
        <w:sz w:val="22"/>
      </w:rPr>
      <w:tblPr/>
      <w:tcPr>
        <w:shd w:val="clear" w:color="FFFFFF" w:fill="FFD864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9E2F2" w:themeFill="accent5" w:themeFillTint="34"/>
      </w:tcPr>
    </w:tblStylePr>
    <w:tblStylePr w:type="band2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2EFD8" w:themeFill="accent6" w:themeFillTint="34"/>
      </w:tcPr>
    </w:tblStylePr>
    <w:tblStylePr w:type="band2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text1" w:sz="12" w:space="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1" w:sz="12" w:space="0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2" w:sz="12" w:space="0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3" w:sz="12" w:space="0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4" w:sz="12" w:space="0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5" w:sz="12" w:space="0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6" w:sz="12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6350" cap="flat" cmpd="sng" algn="ctr"/>
        <a:ln w="12700" cap="flat" cmpd="sng" algn="ctr"/>
        <a:ln w="19050" cap="flat" cmpd="sng" algn="ctr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1212</TotalTime>
  <Application>LibreOffice/25.2.5.2$Windows_X86_64 LibreOffice_project/03d19516eb2e1dd5d4ccd751a0d6f35f35e08022</Application>
  <AppVersion>15.0000</AppVersion>
  <Pages>22</Pages>
  <Words>5287</Words>
  <Characters>40015</Characters>
  <CharactersWithSpaces>45160</CharactersWithSpaces>
  <Paragraphs>223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2026-01-13T13:42:39Z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